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hyperlink r:id="rId13">
        <w:r>
          <w:rPr>
            <w:lang w:val="es_ES" w:bidi="es_ES"/>
          </w:rPr>
          <w:rPr>
            <w:color w:val="0000EE"/>
            <w:u w:val="single"/>
          </w:rPr>
          <w:t>Juan 20.31</w:t>
        </w:r>
      </w:hyperlink>
      <w:r>
        <w:rPr>
          <w:lang w:val="es_ES" w:bidi="es_ES"/>
        </w:rPr>
        <w:t>). Se dio cuenta de que ellos no habían tenido el privilegio de ver las muchas señales y milagros de Jesús como él (</w:t>
      </w:r>
      <w:hyperlink r:id="rId14">
        <w:r>
          <w:rPr>
            <w:lang w:val="es_ES" w:bidi="es_ES"/>
          </w:rPr>
          <w:rPr>
            <w:color w:val="0000EE"/>
            <w:u w:val="single"/>
          </w:rPr>
          <w:t>Juan 20.29</w:t>
        </w:r>
      </w:hyperlink>
      <w:r>
        <w:rPr>
          <w:lang w:val="es_ES" w:bidi="es_ES"/>
        </w:rPr>
        <w:t>). La autoridad y la profunda experiencia de Juan con Jesús resuenan en cada historia que contó. Como testigo ocular de la vida de Jesús (</w:t>
      </w:r>
      <w:hyperlink r:id="rId15">
        <w:r>
          <w:rPr>
            <w:lang w:val="es_ES" w:bidi="es_ES"/>
          </w:rPr>
          <w:rPr>
            <w:color w:val="0000EE"/>
            <w:u w:val="single"/>
          </w:rPr>
          <w:t>Juan 19.35</w:t>
        </w:r>
      </w:hyperlink>
      <w:r>
        <w:rPr>
          <w:lang w:val="es_ES" w:bidi="es_ES"/>
        </w:rPr>
        <w:t xml:space="preserve">), Juan había oído, visto y tocado al Verbo de vida (ver </w:t>
      </w:r>
      <w:hyperlink r:id="rId16">
        <w:r>
          <w:rPr>
            <w:lang w:val="es_ES" w:bidi="es_ES"/>
          </w:rPr>
          <w:rPr>
            <w:color w:val="0000EE"/>
            <w:u w:val="single"/>
          </w:rPr>
          <w:t>1 Jn 1.1–4</w:t>
        </w:r>
      </w:hyperlink>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7">
        <w:r>
          <w:rPr>
            <w:lang w:val="es_ES" w:bidi="es_ES"/>
          </w:rPr>
          <w:rPr>
            <w:color w:val="0000EE"/>
            <w:u w:val="single"/>
          </w:rPr>
          <w:t>1</w:t>
        </w:r>
      </w:hyperlink>
      <w:r>
        <w:rPr>
          <w:lang w:val="es_ES" w:bidi="es_ES"/>
        </w:rPr>
        <w:t xml:space="preserve">, </w:t>
      </w:r>
      <w:hyperlink r:id="rId18">
        <w:r>
          <w:rPr>
            <w:lang w:val="es_ES" w:bidi="es_ES"/>
          </w:rPr>
          <w:rPr>
            <w:color w:val="0000EE"/>
            <w:u w:val="single"/>
          </w:rPr>
          <w:t>2</w:t>
        </w:r>
      </w:hyperlink>
      <w:r>
        <w:rPr>
          <w:lang w:val="es_ES" w:bidi="es_ES"/>
        </w:rPr>
        <w:t xml:space="preserve"> y </w:t>
      </w:r>
      <w:hyperlink r:id="rId19">
        <w:r>
          <w:rPr>
            <w:lang w:val="es_ES" w:bidi="es_ES"/>
          </w:rPr>
          <w:rPr>
            <w:color w:val="0000EE"/>
            <w:u w:val="single"/>
          </w:rPr>
          <w:t>3 Juan</w:t>
        </w:r>
      </w:hyperlink>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hyperlink r:id="rId20">
        <w:r>
          <w:rPr>
            <w:lang w:val="es_ES" w:bidi="es_ES"/>
          </w:rPr>
          <w:rPr>
            <w:color w:val="0000EE"/>
            <w:u w:val="single"/>
          </w:rPr>
          <w:t>capítulos 1–12</w:t>
        </w:r>
      </w:hyperlink>
      <w:r>
        <w:rPr>
          <w:lang w:val="es_ES" w:bidi="es_ES"/>
        </w:rPr>
        <w:t xml:space="preserve"> y los </w:t>
      </w:r>
      <w:hyperlink r:id="rId21">
        <w:r>
          <w:rPr>
            <w:lang w:val="es_ES" w:bidi="es_ES"/>
          </w:rPr>
          <w:rPr>
            <w:color w:val="0000EE"/>
            <w:u w:val="single"/>
          </w:rPr>
          <w:t>capítulos 13–21</w:t>
        </w:r>
      </w:hyperlink>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hyperlink r:id="rId22">
        <w:r>
          <w:rPr>
            <w:lang w:val="es_ES" w:bidi="es_ES"/>
          </w:rPr>
          <w:rPr>
            <w:color w:val="0000EE"/>
            <w:u w:val="single"/>
          </w:rPr>
          <w:t>1.1–18</w:t>
        </w:r>
      </w:hyperlink>
      <w:r>
        <w:rPr>
          <w:lang w:val="es_ES" w:bidi="es_ES"/>
        </w:rPr>
        <w:t>) resume hábilmente la entrada de la Palabra de Dios en el mundo. Jesús fue bautizado y llamó a sus primeros seguidores (</w:t>
      </w:r>
      <w:hyperlink r:id="rId23">
        <w:r>
          <w:rPr>
            <w:lang w:val="es_ES" w:bidi="es_ES"/>
          </w:rPr>
          <w:rPr>
            <w:color w:val="0000EE"/>
            <w:u w:val="single"/>
          </w:rPr>
          <w:t>1.19–51</w:t>
        </w:r>
      </w:hyperlink>
      <w:r>
        <w:rPr>
          <w:lang w:val="es_ES" w:bidi="es_ES"/>
        </w:rPr>
        <w:t>). Luego, una serie de eventos notables (</w:t>
      </w:r>
      <w:hyperlink r:id="rId24">
        <w:r>
          <w:rPr>
            <w:lang w:val="es_ES" w:bidi="es_ES"/>
          </w:rPr>
          <w:rPr>
            <w:color w:val="0000EE"/>
            <w:u w:val="single"/>
          </w:rPr>
          <w:t>capítulos 2–4</w:t>
        </w:r>
      </w:hyperlink>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hyperlink r:id="rId25">
        <w:r>
          <w:rPr>
            <w:lang w:val="es_ES" w:bidi="es_ES"/>
          </w:rPr>
          <w:rPr>
            <w:color w:val="0000EE"/>
            <w:u w:val="single"/>
          </w:rPr>
          <w:t>caps 5–10</w:t>
        </w:r>
      </w:hyperlink>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hyperlink r:id="rId26">
        <w:r>
          <w:rPr>
            <w:lang w:val="es_ES" w:bidi="es_ES"/>
          </w:rPr>
          <w:rPr>
            <w:color w:val="0000EE"/>
            <w:u w:val="single"/>
          </w:rPr>
          <w:t>cap 11</w:t>
        </w:r>
      </w:hyperlink>
      <w:r>
        <w:rPr>
          <w:lang w:val="es_ES" w:bidi="es_ES"/>
        </w:rPr>
        <w:t>). Su amigo Lázaro había muerto, y Jesús lo resucitó. Después de este evento notable, Jesús hizo su último llamado público al mundo para que creyeran en él y en su misión (</w:t>
      </w:r>
      <w:hyperlink r:id="rId27">
        <w:r>
          <w:rPr>
            <w:lang w:val="es_ES" w:bidi="es_ES"/>
          </w:rPr>
          <w:rPr>
            <w:color w:val="0000EE"/>
            <w:u w:val="single"/>
          </w:rPr>
          <w:t>cap 12</w:t>
        </w:r>
      </w:hyperlink>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28">
        <w:r>
          <w:rPr>
            <w:lang w:val="es_ES" w:bidi="es_ES"/>
          </w:rPr>
          <w:rPr>
            <w:color w:val="0000EE"/>
            <w:u w:val="single"/>
          </w:rPr>
          <w:t>chs 13–17</w:t>
        </w:r>
      </w:hyperlink>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hyperlink r:id="rId29">
        <w:r>
          <w:rPr>
            <w:lang w:val="es_ES" w:bidi="es_ES"/>
          </w:rPr>
          <w:rPr>
            <w:color w:val="0000EE"/>
            <w:u w:val="single"/>
          </w:rPr>
          <w:t>cap 18</w:t>
        </w:r>
      </w:hyperlink>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0">
        <w:r>
          <w:rPr>
            <w:lang w:val="es_ES" w:bidi="es_ES"/>
          </w:rPr>
          <w:rPr>
            <w:color w:val="0000EE"/>
            <w:u w:val="single"/>
          </w:rPr>
          <w:t>cap 19</w:t>
        </w:r>
      </w:hyperlink>
      <w:r>
        <w:rPr>
          <w:lang w:val="es_ES" w:bidi="es_ES"/>
        </w:rPr>
        <w:t>).</w:t>
      </w:r>
    </w:p>
    <w:p>
      <w:pPr/>
      <w:r>
        <w:rPr>
          <w:lang w:val="es_ES" w:bidi="es_ES"/>
        </w:rPr>
      </w:r>
      <w:r>
        <w:rPr>
          <w:lang w:val="es_ES" w:bidi="es_ES"/>
        </w:rPr>
        <w:t>El clímax del Evangelio de Juan es la resurrección de Jesús de entre los muertos (</w:t>
      </w:r>
      <w:hyperlink r:id="rId31">
        <w:r>
          <w:rPr>
            <w:lang w:val="es_ES" w:bidi="es_ES"/>
          </w:rPr>
          <w:rPr>
            <w:color w:val="0000EE"/>
            <w:u w:val="single"/>
          </w:rPr>
          <w:t>cap 20</w:t>
        </w:r>
      </w:hyperlink>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hyperlink r:id="rId32">
        <w:r>
          <w:rPr>
            <w:lang w:val="es_ES" w:bidi="es_ES"/>
          </w:rPr>
          <w:rPr>
            <w:color w:val="0000EE"/>
            <w:u w:val="single"/>
          </w:rPr>
          <w:t>cap 21</w:t>
        </w:r>
      </w:hyperlink>
      <w:r>
        <w:rPr>
          <w:lang w:val="es_ES" w:bidi="es_ES"/>
        </w:rPr>
        <w:t>). Les recordó su poder (</w:t>
      </w:r>
      <w:hyperlink r:id="rId33">
        <w:r>
          <w:rPr>
            <w:lang w:val="es_ES" w:bidi="es_ES"/>
          </w:rPr>
          <w:rPr>
            <w:color w:val="0000EE"/>
            <w:u w:val="single"/>
          </w:rPr>
          <w:t>21.1–14</w:t>
        </w:r>
      </w:hyperlink>
      <w:r>
        <w:rPr>
          <w:lang w:val="es_ES" w:bidi="es_ES"/>
        </w:rPr>
        <w:t>); reinstaló a Pedro, quien lo había negado (</w:t>
      </w:r>
      <w:hyperlink r:id="rId34">
        <w:r>
          <w:rPr>
            <w:lang w:val="es_ES" w:bidi="es_ES"/>
          </w:rPr>
          <w:rPr>
            <w:color w:val="0000EE"/>
            <w:u w:val="single"/>
          </w:rPr>
          <w:t>21.15–17</w:t>
        </w:r>
      </w:hyperlink>
      <w:r>
        <w:rPr>
          <w:lang w:val="es_ES" w:bidi="es_ES"/>
        </w:rPr>
        <w:t>); e instruyó a Pedro a seguirlo en su misión (</w:t>
      </w:r>
      <w:hyperlink r:id="rId35">
        <w:r>
          <w:rPr>
            <w:lang w:val="es_ES" w:bidi="es_ES"/>
          </w:rPr>
          <w:rPr>
            <w:color w:val="0000EE"/>
            <w:u w:val="single"/>
          </w:rPr>
          <w:t>21.18–19</w:t>
        </w:r>
      </w:hyperlink>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hyperlink r:id="rId36">
        <w:r>
          <w:rPr>
            <w:lang w:val="es_ES" w:bidi="es_ES"/>
          </w:rPr>
          <w:rPr>
            <w:color w:val="0000EE"/>
            <w:u w:val="single"/>
          </w:rPr>
          <w:t>13.23</w:t>
        </w:r>
      </w:hyperlink>
      <w:r>
        <w:rPr>
          <w:lang w:val="es_ES" w:bidi="es_ES"/>
        </w:rPr>
        <w:t xml:space="preserve">; </w:t>
      </w:r>
      <w:hyperlink r:id="rId37">
        <w:r>
          <w:rPr>
            <w:lang w:val="es_ES" w:bidi="es_ES"/>
          </w:rPr>
          <w:rPr>
            <w:color w:val="0000EE"/>
            <w:u w:val="single"/>
          </w:rPr>
          <w:t>19.26–27</w:t>
        </w:r>
      </w:hyperlink>
      <w:r>
        <w:rPr>
          <w:lang w:val="es_ES" w:bidi="es_ES"/>
        </w:rPr>
        <w:t xml:space="preserve">; </w:t>
      </w:r>
      <w:hyperlink r:id="rId38">
        <w:r>
          <w:rPr>
            <w:lang w:val="es_ES" w:bidi="es_ES"/>
          </w:rPr>
          <w:rPr>
            <w:color w:val="0000EE"/>
            <w:u w:val="single"/>
          </w:rPr>
          <w:t>20.2–10</w:t>
        </w:r>
      </w:hyperlink>
      <w:r>
        <w:rPr>
          <w:lang w:val="es_ES" w:bidi="es_ES"/>
        </w:rPr>
        <w:t xml:space="preserve">; </w:t>
      </w:r>
      <w:hyperlink r:id="rId39">
        <w:r>
          <w:rPr>
            <w:lang w:val="es_ES" w:bidi="es_ES"/>
          </w:rPr>
          <w:rPr>
            <w:color w:val="0000EE"/>
            <w:u w:val="single"/>
          </w:rPr>
          <w:t>21.7</w:t>
        </w:r>
      </w:hyperlink>
      <w:r>
        <w:rPr>
          <w:lang w:val="es_ES" w:bidi="es_ES"/>
        </w:rPr>
        <w:t xml:space="preserve">, </w:t>
      </w:r>
      <w:hyperlink r:id="rId40">
        <w:r>
          <w:rPr>
            <w:lang w:val="es_ES" w:bidi="es_ES"/>
          </w:rPr>
          <w:rPr>
            <w:color w:val="0000EE"/>
            <w:u w:val="single"/>
          </w:rPr>
          <w:t>20–24</w:t>
        </w:r>
      </w:hyperlink>
      <w:r>
        <w:rPr>
          <w:lang w:val="es_ES" w:bidi="es_ES"/>
        </w:rPr>
        <w:t>). El Evangelio de Juan debe estar conectado con esta persona, ya que se le identifica como la fuente ocular de este registro de la vida de Jesús (</w:t>
      </w:r>
      <w:hyperlink r:id="rId15">
        <w:r>
          <w:rPr>
            <w:lang w:val="es_ES" w:bidi="es_ES"/>
          </w:rPr>
          <w:rPr>
            <w:color w:val="0000EE"/>
            <w:u w:val="single"/>
          </w:rPr>
          <w:t>19.35</w:t>
        </w:r>
      </w:hyperlink>
      <w:r>
        <w:rPr>
          <w:lang w:val="es_ES" w:bidi="es_ES"/>
        </w:rPr>
        <w:t xml:space="preserve">; </w:t>
      </w:r>
      <w:hyperlink r:id="rId40">
        <w:r>
          <w:rPr>
            <w:lang w:val="es_ES" w:bidi="es_ES"/>
          </w:rPr>
          <w:rPr>
            <w:color w:val="0000EE"/>
            <w:u w:val="single"/>
          </w:rPr>
          <w:t>21.20–24</w:t>
        </w:r>
      </w:hyperlink>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hyperlink r:id="rId41">
        <w:r>
          <w:rPr>
            <w:lang w:val="es_ES" w:bidi="es_ES"/>
          </w:rPr>
          <w:rPr>
            <w:color w:val="0000EE"/>
            <w:u w:val="single"/>
          </w:rPr>
          <w:t>Mateo 26.36–37</w:t>
        </w:r>
      </w:hyperlink>
      <w:r>
        <w:rPr>
          <w:lang w:val="es_ES" w:bidi="es_ES"/>
        </w:rPr>
        <w:t xml:space="preserve">, </w:t>
      </w:r>
      <w:hyperlink r:id="rId42">
        <w:r>
          <w:rPr>
            <w:lang w:val="es_ES" w:bidi="es_ES"/>
          </w:rPr>
          <w:rPr>
            <w:color w:val="0000EE"/>
            <w:u w:val="single"/>
          </w:rPr>
          <w:t>Marcos 5.37</w:t>
        </w:r>
      </w:hyperlink>
      <w:r>
        <w:rPr>
          <w:lang w:val="es_ES" w:bidi="es_ES"/>
        </w:rPr>
        <w:t xml:space="preserve">; </w:t>
      </w:r>
      <w:hyperlink r:id="rId43">
        <w:r>
          <w:rPr>
            <w:lang w:val="es_ES" w:bidi="es_ES"/>
          </w:rPr>
          <w:rPr>
            <w:color w:val="0000EE"/>
            <w:u w:val="single"/>
          </w:rPr>
          <w:t>9.2</w:t>
        </w:r>
      </w:hyperlink>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hyperlink r:id="rId44">
        <w:r>
          <w:rPr>
            <w:lang w:val="es_ES" w:bidi="es_ES"/>
          </w:rPr>
          <w:rPr>
            <w:color w:val="0000EE"/>
            <w:u w:val="single"/>
          </w:rPr>
          <w:t>1.38</w:t>
        </w:r>
      </w:hyperlink>
      <w:r>
        <w:rPr>
          <w:lang w:val="es_ES" w:bidi="es_ES"/>
        </w:rPr>
        <w:t>), y dio un nombre alternativo para el Mar de Galilea (</w:t>
      </w:r>
      <w:hyperlink r:id="rId45">
        <w:r>
          <w:rPr>
            <w:lang w:val="es_ES" w:bidi="es_ES"/>
          </w:rPr>
          <w:rPr>
            <w:color w:val="0000EE"/>
            <w:u w:val="single"/>
          </w:rPr>
          <w:t>6.1</w:t>
        </w:r>
      </w:hyperlink>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6">
        <w:r>
          <w:rPr>
            <w:lang w:val="es_ES" w:bidi="es_ES"/>
          </w:rPr>
          <w:rPr>
            <w:color w:val="0000EE"/>
            <w:u w:val="single"/>
          </w:rPr>
          <w:t>3.24</w:t>
        </w:r>
      </w:hyperlink>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hyperlink r:id="rId47">
        <w:r>
          <w:rPr>
            <w:lang w:val="es_ES" w:bidi="es_ES"/>
          </w:rPr>
          <w:rPr>
            <w:color w:val="0000EE"/>
            <w:u w:val="single"/>
          </w:rPr>
          <w:t>1.5</w:t>
        </w:r>
      </w:hyperlink>
      <w:r>
        <w:rPr>
          <w:lang w:val="es_ES" w:bidi="es_ES"/>
        </w:rPr>
        <w:t>). La luz de Dios ha habitado el mundo: Cristo revela al Padre (</w:t>
      </w:r>
      <w:hyperlink r:id="rId48">
        <w:r>
          <w:rPr>
            <w:lang w:val="es_ES" w:bidi="es_ES"/>
          </w:rPr>
          <w:rPr>
            <w:color w:val="0000EE"/>
            <w:u w:val="single"/>
          </w:rPr>
          <w:t>14.9</w:t>
        </w:r>
      </w:hyperlink>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hyperlink r:id="rId49">
        <w:r>
          <w:rPr>
            <w:lang w:val="es_ES" w:bidi="es_ES"/>
          </w:rPr>
          <w:rPr>
            <w:color w:val="0000EE"/>
            <w:u w:val="single"/>
          </w:rPr>
          <w:t>1.4</w:t>
        </w:r>
      </w:hyperlink>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hyperlink r:id="rId50">
        <w:r>
          <w:rPr>
            <w:lang w:val="es_ES" w:bidi="es_ES"/>
          </w:rPr>
          <w:rPr>
            <w:color w:val="0000EE"/>
            <w:u w:val="single"/>
          </w:rPr>
          <w:t>4.24</w:t>
        </w:r>
      </w:hyperlink>
      <w:r>
        <w:rPr>
          <w:lang w:val="es_ES" w:bidi="es_ES"/>
        </w:rPr>
        <w:t>), energizada e informada por el Espíritu de Dios. Nicodemo tenía que nacer de “agua y Espíritu” para entrar en el Reino de Dios (</w:t>
      </w:r>
      <w:hyperlink r:id="rId51">
        <w:r>
          <w:rPr>
            <w:lang w:val="es_ES" w:bidi="es_ES"/>
          </w:rPr>
          <w:rPr>
            <w:color w:val="0000EE"/>
            <w:u w:val="single"/>
          </w:rPr>
          <w:t>3.5</w:t>
        </w:r>
      </w:hyperlink>
      <w:r>
        <w:rPr>
          <w:lang w:val="es_ES" w:bidi="es_ES"/>
        </w:rPr>
        <w:t>). En Galilea, después de alimentar a los 5000, Jesús le dijo a la multitud que el pan vivo está disponible en su cuerpo, que iba a ser sacrificado. Les instruyó que consumieran su cuerpo y sangre, simbólico de la Santa Cena (</w:t>
      </w:r>
      <w:hyperlink r:id="rId52">
        <w:r>
          <w:rPr>
            <w:lang w:val="es_ES" w:bidi="es_ES"/>
          </w:rPr>
          <w:rPr>
            <w:color w:val="0000EE"/>
            <w:u w:val="single"/>
          </w:rPr>
          <w:t>6.51–59</w:t>
        </w:r>
      </w:hyperlink>
      <w:r>
        <w:rPr>
          <w:lang w:val="es_ES" w:bidi="es_ES"/>
        </w:rPr>
        <w:t xml:space="preserve">). Sin embargo, la adoración que se centra solo en los elementos individuales y no está acompañada por el Espíritu de Dios no vale nada (ver </w:t>
      </w:r>
      <w:hyperlink r:id="rId53">
        <w:r>
          <w:rPr>
            <w:lang w:val="es_ES" w:bidi="es_ES"/>
          </w:rPr>
          <w:rPr>
            <w:color w:val="0000EE"/>
            <w:u w:val="single"/>
          </w:rPr>
          <w:t>6.63</w:t>
        </w:r>
      </w:hyperlink>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hyperlink r:id="rId54">
        <w:r>
          <w:rPr>
            <w:lang w:val="es_ES" w:bidi="es_ES"/>
          </w:rPr>
          <w:rPr>
            <w:color w:val="0000EE"/>
            <w:u w:val="single"/>
          </w:rPr>
          <w:t>10.30</w:t>
        </w:r>
      </w:hyperlink>
      <w:r>
        <w:rPr>
          <w:lang w:val="es_ES" w:bidi="es_ES"/>
        </w:rPr>
        <w:t xml:space="preserve">; </w:t>
      </w:r>
      <w:hyperlink r:id="rId55">
        <w:r>
          <w:rPr>
            <w:lang w:val="es_ES" w:bidi="es_ES"/>
          </w:rPr>
          <w:rPr>
            <w:color w:val="0000EE"/>
            <w:u w:val="single"/>
          </w:rPr>
          <w:t>14.9–10</w:t>
        </w:r>
      </w:hyperlink>
      <w:r>
        <w:rPr>
          <w:lang w:val="es_ES" w:bidi="es_ES"/>
        </w:rPr>
        <w:t>) y su unidad de propósito (</w:t>
      </w:r>
      <w:hyperlink r:id="rId56">
        <w:r>
          <w:rPr>
            <w:lang w:val="es_ES" w:bidi="es_ES"/>
          </w:rPr>
          <w:rPr>
            <w:color w:val="0000EE"/>
            <w:u w:val="single"/>
          </w:rPr>
          <w:t>5.17</w:t>
        </w:r>
      </w:hyperlink>
      <w:r>
        <w:rPr>
          <w:lang w:val="es_ES" w:bidi="es_ES"/>
        </w:rPr>
        <w:t xml:space="preserve">; </w:t>
      </w:r>
      <w:hyperlink r:id="rId57">
        <w:r>
          <w:rPr>
            <w:lang w:val="es_ES" w:bidi="es_ES"/>
          </w:rPr>
          <w:rPr>
            <w:color w:val="0000EE"/>
            <w:u w:val="single"/>
          </w:rPr>
          <w:t>8.42</w:t>
        </w:r>
      </w:hyperlink>
      <w:r>
        <w:rPr>
          <w:lang w:val="es_ES" w:bidi="es_ES"/>
        </w:rPr>
        <w:t>), así como su distinción personal (</w:t>
      </w:r>
      <w:hyperlink r:id="rId58">
        <w:r>
          <w:rPr>
            <w:lang w:val="es_ES" w:bidi="es_ES"/>
          </w:rPr>
          <w:rPr>
            <w:color w:val="0000EE"/>
            <w:u w:val="single"/>
          </w:rPr>
          <w:t>14.28</w:t>
        </w:r>
      </w:hyperlink>
      <w:r>
        <w:rPr>
          <w:lang w:val="es_ES" w:bidi="es_ES"/>
        </w:rPr>
        <w:t xml:space="preserve">; </w:t>
      </w:r>
      <w:hyperlink r:id="rId59">
        <w:r>
          <w:rPr>
            <w:lang w:val="es_ES" w:bidi="es_ES"/>
          </w:rPr>
          <w:rPr>
            <w:color w:val="0000EE"/>
            <w:u w:val="single"/>
          </w:rPr>
          <w:t>17.1–5</w:t>
        </w:r>
      </w:hyperlink>
      <w:r>
        <w:rPr>
          <w:lang w:val="es_ES" w:bidi="es_ES"/>
        </w:rPr>
        <w:t xml:space="preserve">). Jesús incluso usó el mismo título ("Yo Soy") que Dios usó para sí mismo en el Antiguo Testamento, afirmando así su propia deidad (ver </w:t>
      </w:r>
      <w:hyperlink r:id="rId60">
        <w:r>
          <w:rPr>
            <w:lang w:val="es_ES" w:bidi="es_ES"/>
          </w:rPr>
          <w:rPr>
            <w:color w:val="0000EE"/>
            <w:u w:val="single"/>
          </w:rPr>
          <w:t>8.58</w:t>
        </w:r>
      </w:hyperlink>
      <w:r>
        <w:rPr>
          <w:lang w:val="es_ES" w:bidi="es_ES"/>
        </w:rPr>
        <w:t xml:space="preserve">; </w:t>
      </w:r>
      <w:hyperlink r:id="rId61">
        <w:r>
          <w:rPr>
            <w:lang w:val="es_ES" w:bidi="es_ES"/>
          </w:rPr>
          <w:rPr>
            <w:color w:val="0000EE"/>
            <w:u w:val="single"/>
          </w:rPr>
          <w:t xml:space="preserve">18.4–5, </w:t>
        </w:r>
      </w:hyperlink>
      <w:hyperlink r:id="rId62">
        <w:r>
          <w:rPr>
            <w:lang w:val="es_ES" w:bidi="es_ES"/>
          </w:rPr>
          <w:rPr>
            <w:color w:val="0000EE"/>
            <w:u w:val="single"/>
          </w:rPr>
          <w:t>Éxodo 3.13–14</w:t>
        </w:r>
      </w:hyperlink>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hyperlink r:id="rId63">
        <w:r>
          <w:rPr>
            <w:lang w:val="es_ES" w:bidi="es_ES"/>
          </w:rPr>
          <w:rPr>
            <w:color w:val="0000EE"/>
            <w:u w:val="single"/>
          </w:rPr>
          <w:t>caps 4</w:t>
        </w:r>
      </w:hyperlink>
      <w:r>
        <w:rPr>
          <w:lang w:val="es_ES" w:bidi="es_ES"/>
        </w:rPr>
        <w:t xml:space="preserve">, </w:t>
      </w:r>
      <w:hyperlink r:id="rId64">
        <w:r>
          <w:rPr>
            <w:lang w:val="es_ES" w:bidi="es_ES"/>
          </w:rPr>
          <w:rPr>
            <w:color w:val="0000EE"/>
            <w:u w:val="single"/>
          </w:rPr>
          <w:t>7</w:t>
        </w:r>
      </w:hyperlink>
      <w:r>
        <w:rPr>
          <w:lang w:val="es_ES" w:bidi="es_ES"/>
        </w:rPr>
        <w:t xml:space="preserve">) y de nuestras vidas (caps </w:t>
      </w:r>
      <w:hyperlink r:id="rId65">
        <w:r>
          <w:rPr>
            <w:lang w:val="es_ES" w:bidi="es_ES"/>
          </w:rPr>
          <w:rPr>
            <w:color w:val="0000EE"/>
            <w:u w:val="single"/>
          </w:rPr>
          <w:t>3</w:t>
        </w:r>
      </w:hyperlink>
      <w:r>
        <w:rPr>
          <w:lang w:val="es_ES" w:bidi="es_ES"/>
        </w:rPr>
        <w:t xml:space="preserve">, </w:t>
      </w:r>
      <w:hyperlink r:id="rId66">
        <w:r>
          <w:rPr>
            <w:lang w:val="es_ES" w:bidi="es_ES"/>
          </w:rPr>
          <w:rPr>
            <w:color w:val="0000EE"/>
            <w:u w:val="single"/>
          </w:rPr>
          <w:t>14</w:t>
        </w:r>
      </w:hyperlink>
      <w:r>
        <w:rPr>
          <w:lang w:val="es_ES" w:bidi="es_ES"/>
        </w:rPr>
        <w:t xml:space="preserve">, y </w:t>
      </w:r>
      <w:hyperlink r:id="rId67">
        <w:r>
          <w:rPr>
            <w:lang w:val="es_ES" w:bidi="es_ES"/>
          </w:rPr>
          <w:rPr>
            <w:color w:val="0000EE"/>
            <w:u w:val="single"/>
          </w:rPr>
          <w:t>16</w:t>
        </w:r>
      </w:hyperlink>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hyperlink r:id="rId68">
        <w:r>
          <w:rPr>
            <w:lang w:val="es_ES" w:bidi="es_ES"/>
          </w:rPr>
          <w:rPr>
            <w:color w:val="0000EE"/>
            <w:u w:val="single"/>
          </w:rPr>
          <w:t>8.18</w:t>
        </w:r>
      </w:hyperlink>
      <w:r>
        <w:rPr>
          <w:lang w:val="es_ES" w:bidi="es_ES"/>
        </w:rPr>
        <w:t>) para proclamar su gloria y testificar la buena nueva de la redención. Después de su partida, el Hijo continuó esta misión a través del Espíritu (</w:t>
      </w:r>
      <w:hyperlink r:id="rId69">
        <w:r>
          <w:rPr>
            <w:lang w:val="es_ES" w:bidi="es_ES"/>
          </w:rPr>
          <w:rPr>
            <w:color w:val="0000EE"/>
            <w:u w:val="single"/>
          </w:rPr>
          <w:t>16.5–11</w:t>
        </w:r>
      </w:hyperlink>
      <w:r>
        <w:rPr>
          <w:lang w:val="es_ES" w:bidi="es_ES"/>
        </w:rPr>
        <w:t>), que a su vez llenaría la iglesia y capacitaría a los creyentes para cumplir la misión de Jesús en el mundo (</w:t>
      </w:r>
      <w:hyperlink r:id="rId70">
        <w:r>
          <w:rPr>
            <w:lang w:val="es_ES" w:bidi="es_ES"/>
          </w:rPr>
          <w:rPr>
            <w:color w:val="0000EE"/>
            <w:u w:val="single"/>
          </w:rPr>
          <w:t>20.20–23,</w:t>
        </w:r>
      </w:hyperlink>
      <w:r>
        <w:rPr>
          <w:lang w:val="es_ES" w:bidi="es_ES"/>
        </w:rPr>
        <w:t xml:space="preserve"> </w:t>
      </w:r>
      <w:hyperlink r:id="rId71">
        <w:r>
          <w:rPr>
            <w:lang w:val="es_ES" w:bidi="es_ES"/>
          </w:rPr>
          <w:rPr>
            <w:color w:val="0000EE"/>
            <w:u w:val="single"/>
          </w:rPr>
          <w:t>Mateo 28.18–20,</w:t>
        </w:r>
      </w:hyperlink>
      <w:r>
        <w:rPr>
          <w:lang w:val="es_ES" w:bidi="es_ES"/>
        </w:rPr>
        <w:t xml:space="preserve"> </w:t>
      </w:r>
      <w:hyperlink r:id="rId72">
        <w:r>
          <w:rPr>
            <w:lang w:val="es_ES" w:bidi="es_ES"/>
          </w:rPr>
          <w:rPr>
            <w:color w:val="0000EE"/>
            <w:u w:val="single"/>
          </w:rPr>
          <w:t>Hechos 1.7–8</w:t>
        </w:r>
      </w:hyperlink>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3">
        <w:r>
          <w:rPr>
            <w:lang w:val="es_ES" w:bidi="es_ES"/>
          </w:rPr>
          <w:rPr>
            <w:color w:val="0000EE"/>
            <w:u w:val="single"/>
          </w:rPr>
          <w:t>14.15–26</w:t>
        </w:r>
      </w:hyperlink>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