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2"/>
      </w:pPr>
      <w:r>
        <w:rPr>
          <w:lang w:val="hi_IN" w:bidi="hi_IN"/>
        </w:rPr>
        <w:t>पृष्ठभूमि</w:t>
      </w:r>
    </w:p>
    <w:p>
      <w:pPr/>
      <w:r>
        <w:rPr>
          <w:lang w:val="hi_IN" w:bidi="hi_IN"/>
        </w:rPr>
      </w:r>
      <w:r>
        <w:rPr>
          <w:lang w:val="hi_IN" w:bidi="hi_IN"/>
        </w:rP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pPr/>
      <w:r>
        <w:rPr>
          <w:lang w:val="hi_IN" w:bidi="hi_IN"/>
        </w:rPr>
      </w:r>
      <w:r>
        <w:rPr>
          <w:lang w:val="hi_IN" w:bidi="hi_IN"/>
        </w:rP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pPr/>
      <w:r>
        <w:rPr>
          <w:lang w:val="hi_IN" w:bidi="hi_IN"/>
        </w:rPr>
      </w:r>
      <w:r>
        <w:rPr>
          <w:lang w:val="hi_IN" w:bidi="hi_IN"/>
        </w:rP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2"/>
      </w:pPr>
      <w:r>
        <w:rPr>
          <w:lang w:val="hi_IN" w:bidi="hi_IN"/>
        </w:rPr>
        <w:t>सारांश</w:t>
      </w:r>
    </w:p>
    <w:p>
      <w:pPr/>
      <w:r>
        <w:rPr>
          <w:lang w:val="hi_IN" w:bidi="hi_IN"/>
        </w:rPr>
      </w:r>
      <w:r>
        <w:rPr>
          <w:lang w:val="hi_IN" w:bidi="hi_IN"/>
        </w:rPr>
        <w:t xml:space="preserve">यहोशू की आधी पुस्तक (अध्याय </w:t>
      </w:r>
      <w:hyperlink r:id="rId13">
        <w:r>
          <w:rPr>
            <w:lang w:val="hi_IN" w:bidi="hi_IN"/>
          </w:rPr>
          <w:rPr>
            <w:color w:val="0000EE"/>
            <w:u w:val="single"/>
          </w:rPr>
          <w:t>1–12</w:t>
        </w:r>
      </w:hyperlink>
      <w:r>
        <w:rPr>
          <w:lang w:val="hi_IN" w:bidi="hi_IN"/>
        </w:rP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hyperlink r:id="rId14">
        <w:r>
          <w:rPr>
            <w:lang w:val="hi_IN" w:bidi="hi_IN"/>
          </w:rPr>
          <w:rPr>
            <w:color w:val="0000EE"/>
            <w:u w:val="single"/>
          </w:rPr>
          <w:t>2</w:t>
        </w:r>
      </w:hyperlink>
      <w:r>
        <w:rPr>
          <w:lang w:val="hi_IN" w:bidi="hi_IN"/>
        </w:rPr>
        <w:t xml:space="preserve">)। इस्राएलियों ने यरदन को पार किया, जिसका प्रवाह चमत्कारिक रूप से रोक दिया गया था (अध्याय </w:t>
      </w:r>
      <w:hyperlink r:id="rId15">
        <w:r>
          <w:rPr>
            <w:lang w:val="hi_IN" w:bidi="hi_IN"/>
          </w:rPr>
          <w:rPr>
            <w:color w:val="0000EE"/>
            <w:u w:val="single"/>
          </w:rPr>
          <w:t>3</w:t>
        </w:r>
      </w:hyperlink>
      <w:r>
        <w:rPr>
          <w:lang w:val="hi_IN" w:bidi="hi_IN"/>
        </w:rPr>
        <w:t xml:space="preserve">)। फिर, परमेश्वर ने यरीहो के नगर की दीवारें गिराकर इस्राएल को वह नगर दे दिया (अध्याय </w:t>
      </w:r>
      <w:hyperlink r:id="rId16">
        <w:r>
          <w:rPr>
            <w:lang w:val="hi_IN" w:bidi="hi_IN"/>
          </w:rPr>
          <w:rPr>
            <w:color w:val="0000EE"/>
            <w:u w:val="single"/>
          </w:rPr>
          <w:t>6</w:t>
        </w:r>
      </w:hyperlink>
      <w:r>
        <w:rPr>
          <w:lang w:val="hi_IN" w:bidi="hi_IN"/>
        </w:rPr>
        <w:t>)।</w:t>
      </w:r>
    </w:p>
    <w:p>
      <w:pPr/>
      <w:r>
        <w:rPr>
          <w:lang w:val="hi_IN" w:bidi="hi_IN"/>
        </w:rPr>
      </w:r>
      <w:r>
        <w:rPr>
          <w:lang w:val="hi_IN" w:bidi="hi_IN"/>
        </w:rP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hyperlink r:id="rId17">
        <w:r>
          <w:rPr>
            <w:lang w:val="hi_IN" w:bidi="hi_IN"/>
          </w:rPr>
          <w:rPr>
            <w:color w:val="0000EE"/>
            <w:u w:val="single"/>
          </w:rPr>
          <w:t>7</w:t>
        </w:r>
      </w:hyperlink>
      <w:r>
        <w:rPr>
          <w:lang w:val="hi_IN" w:bidi="hi_IN"/>
        </w:rP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hyperlink r:id="rId18">
        <w:r>
          <w:rPr>
            <w:lang w:val="hi_IN" w:bidi="hi_IN"/>
          </w:rPr>
          <w:rPr>
            <w:color w:val="0000EE"/>
            <w:u w:val="single"/>
          </w:rPr>
          <w:t>10</w:t>
        </w:r>
      </w:hyperlink>
      <w:r>
        <w:rPr>
          <w:lang w:val="hi_IN" w:bidi="hi_IN"/>
        </w:rPr>
        <w:t xml:space="preserve">)। यहोशू फिर उत्तर की ओर मुड़े, जहाँ उन्होंने नगर-राज्यों के उत्तरी गठबन्धन पर भी एक समान निर्णायक विजय प्राप्त की (अध्याय </w:t>
      </w:r>
      <w:hyperlink r:id="rId19">
        <w:r>
          <w:rPr>
            <w:lang w:val="hi_IN" w:bidi="hi_IN"/>
          </w:rPr>
          <w:rPr>
            <w:color w:val="0000EE"/>
            <w:u w:val="single"/>
          </w:rPr>
          <w:t>11</w:t>
        </w:r>
      </w:hyperlink>
      <w:r>
        <w:rPr>
          <w:lang w:val="hi_IN" w:bidi="hi_IN"/>
        </w:rPr>
        <w:t>)। पूरा पहाड़ी देश, दक्षिण में नेगेव से लेकर उत्तर में ऊपरी गलील तक, इस्राएलियों के बसने के लिए खुल गया।</w:t>
      </w:r>
    </w:p>
    <w:p>
      <w:pPr/>
      <w:r>
        <w:rPr>
          <w:lang w:val="hi_IN" w:bidi="hi_IN"/>
        </w:rPr>
      </w:r>
      <w:r>
        <w:rPr>
          <w:lang w:val="hi_IN" w:bidi="hi_IN"/>
        </w:rPr>
        <w:t xml:space="preserve">यहोशू के दूसरे भाग (अध्याय </w:t>
      </w:r>
      <w:hyperlink r:id="rId20">
        <w:r>
          <w:rPr>
            <w:lang w:val="hi_IN" w:bidi="hi_IN"/>
          </w:rPr>
          <w:rPr>
            <w:color w:val="0000EE"/>
            <w:u w:val="single"/>
          </w:rPr>
          <w:t>13–24</w:t>
        </w:r>
      </w:hyperlink>
      <w:r>
        <w:rPr>
          <w:lang w:val="hi_IN" w:bidi="hi_IN"/>
        </w:rPr>
        <w:t xml:space="preserve">) में इस्राएल की भूमि के बंटवारे का विस्तृत विवरण शामिल है, जिसमें यहूदा, बिन्यामीन, और यूसुफ को दी गई भूमि का वर्णन है (अध्याय </w:t>
      </w:r>
      <w:hyperlink r:id="rId21">
        <w:r>
          <w:rPr>
            <w:lang w:val="hi_IN" w:bidi="hi_IN"/>
          </w:rPr>
          <w:rPr>
            <w:color w:val="0000EE"/>
            <w:u w:val="single"/>
          </w:rPr>
          <w:t>15–19</w:t>
        </w:r>
      </w:hyperlink>
      <w:r>
        <w:rPr>
          <w:lang w:val="hi_IN" w:bidi="hi_IN"/>
        </w:rPr>
        <w:t xml:space="preserve">); ये गोत्र इस्राएल के केन्द्रीय गोत्र बन गए। कालेब और यहोशू की विरासतें इस क्षेत्रीय बंटवारे के खण्ड की शुरुआत और अन्त करती हैं (अध्याय </w:t>
      </w:r>
      <w:hyperlink r:id="rId22">
        <w:r>
          <w:rPr>
            <w:lang w:val="hi_IN" w:bidi="hi_IN"/>
          </w:rPr>
          <w:rPr>
            <w:color w:val="0000EE"/>
            <w:u w:val="single"/>
          </w:rPr>
          <w:t>15</w:t>
        </w:r>
      </w:hyperlink>
      <w:r>
        <w:rPr>
          <w:lang w:val="hi_IN" w:bidi="hi_IN"/>
        </w:rPr>
        <w:t xml:space="preserve"> और </w:t>
      </w:r>
      <w:hyperlink r:id="rId23">
        <w:r>
          <w:rPr>
            <w:lang w:val="hi_IN" w:bidi="hi_IN"/>
          </w:rPr>
          <w:rPr>
            <w:color w:val="0000EE"/>
            <w:u w:val="single"/>
          </w:rPr>
          <w:t>19</w:t>
        </w:r>
      </w:hyperlink>
      <w:r>
        <w:rPr>
          <w:lang w:val="hi_IN" w:bidi="hi_IN"/>
        </w:rPr>
        <w:t xml:space="preserve">)। छः शरण नगरों का निर्धारण (अध्याय </w:t>
      </w:r>
      <w:hyperlink r:id="rId24">
        <w:r>
          <w:rPr>
            <w:lang w:val="hi_IN" w:bidi="hi_IN"/>
          </w:rPr>
          <w:rPr>
            <w:color w:val="0000EE"/>
            <w:u w:val="single"/>
          </w:rPr>
          <w:t>20</w:t>
        </w:r>
      </w:hyperlink>
      <w:r>
        <w:rPr>
          <w:lang w:val="hi_IN" w:bidi="hi_IN"/>
        </w:rPr>
        <w:t xml:space="preserve">) और प्रत्येक गोत्रीय क्षेत्र में लेवियों के लिए नगरों का आवंटन (अध्याय </w:t>
      </w:r>
      <w:hyperlink r:id="rId25">
        <w:r>
          <w:rPr>
            <w:lang w:val="hi_IN" w:bidi="hi_IN"/>
          </w:rPr>
          <w:rPr>
            <w:color w:val="0000EE"/>
            <w:u w:val="single"/>
          </w:rPr>
          <w:t>21</w:t>
        </w:r>
      </w:hyperlink>
      <w:r>
        <w:rPr>
          <w:lang w:val="hi_IN" w:bidi="hi_IN"/>
        </w:rP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hyperlink r:id="rId26">
        <w:r>
          <w:rPr>
            <w:lang w:val="hi_IN" w:bidi="hi_IN"/>
          </w:rPr>
          <w:rPr>
            <w:color w:val="0000EE"/>
            <w:u w:val="single"/>
          </w:rPr>
          <w:t>22</w:t>
        </w:r>
      </w:hyperlink>
      <w:r>
        <w:rPr>
          <w:lang w:val="hi_IN" w:bidi="hi_IN"/>
        </w:rPr>
        <w:t xml:space="preserve">)। पुस्तक यहोशू के विदाई भाषण (अध्याय </w:t>
      </w:r>
      <w:hyperlink r:id="rId27">
        <w:r>
          <w:rPr>
            <w:lang w:val="hi_IN" w:bidi="hi_IN"/>
          </w:rPr>
          <w:rPr>
            <w:color w:val="0000EE"/>
            <w:u w:val="single"/>
          </w:rPr>
          <w:t>23</w:t>
        </w:r>
      </w:hyperlink>
      <w:r>
        <w:rPr>
          <w:lang w:val="hi_IN" w:bidi="hi_IN"/>
        </w:rPr>
        <w:t xml:space="preserve">), इस्राएलियों की परमेश्वर के साथ अपनी वाचा को नवीनीकृत करने की सभा, और तीन प्रमुख अन्तिम संस्कारों (अध्याय </w:t>
      </w:r>
      <w:hyperlink r:id="rId28">
        <w:r>
          <w:rPr>
            <w:lang w:val="hi_IN" w:bidi="hi_IN"/>
          </w:rPr>
          <w:rPr>
            <w:color w:val="0000EE"/>
            <w:u w:val="single"/>
          </w:rPr>
          <w:t>24</w:t>
        </w:r>
      </w:hyperlink>
      <w:r>
        <w:rPr>
          <w:lang w:val="hi_IN" w:bidi="hi_IN"/>
        </w:rPr>
        <w:t>) के साथ समाप्त होती है।</w:t>
      </w:r>
    </w:p>
    <w:p>
      <w:pPr>
        <w:pStyle w:val="Heading2"/>
      </w:pPr>
      <w:r>
        <w:rPr>
          <w:lang w:val="hi_IN" w:bidi="hi_IN"/>
        </w:rPr>
        <w:t>लेखक और तिथि</w:t>
      </w:r>
    </w:p>
    <w:p>
      <w:pPr/>
      <w:r>
        <w:rPr>
          <w:lang w:val="hi_IN" w:bidi="hi_IN"/>
        </w:rPr>
      </w:r>
      <w:r>
        <w:rPr>
          <w:lang w:val="hi_IN" w:bidi="hi_IN"/>
        </w:rPr>
        <w:t xml:space="preserve">यहोशू की पुस्तक कहीं भी यह दावा नहीं करती कि यहोशू इसके लेखक थे। "आज के दिन तक" वाक्यांश की बार-बार उपस्थिति और </w:t>
      </w:r>
      <w:r>
        <w:rPr>
          <w:i/>
          <w:lang w:val="hi_IN" w:bidi="hi_IN"/>
        </w:rPr>
        <w:t>यशर की पुस्तक</w:t>
      </w:r>
      <w:r>
        <w:rPr>
          <w:lang w:val="hi_IN" w:bidi="hi_IN"/>
        </w:rP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2"/>
      </w:pPr>
      <w:r>
        <w:rPr>
          <w:lang w:val="hi_IN" w:bidi="hi_IN"/>
        </w:rPr>
        <w:t>इतिहास के रूप में यहोशू</w:t>
      </w:r>
    </w:p>
    <w:p>
      <w:pPr/>
      <w:r>
        <w:rPr>
          <w:lang w:val="hi_IN" w:bidi="hi_IN"/>
        </w:rPr>
      </w:r>
      <w:r>
        <w:rPr>
          <w:lang w:val="hi_IN" w:bidi="hi_IN"/>
        </w:rP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pPr/>
      <w:r>
        <w:rPr>
          <w:lang w:val="hi_IN" w:bidi="hi_IN"/>
        </w:rPr>
      </w:r>
      <w:r>
        <w:rPr>
          <w:lang w:val="hi_IN" w:bidi="hi_IN"/>
        </w:rP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pPr/>
      <w:r>
        <w:rPr>
          <w:lang w:val="hi_IN" w:bidi="hi_IN"/>
        </w:rPr>
      </w:r>
      <w:r>
        <w:rPr>
          <w:lang w:val="hi_IN" w:bidi="hi_IN"/>
        </w:rP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pPr/>
      <w:r>
        <w:rPr>
          <w:lang w:val="hi_IN" w:bidi="hi_IN"/>
        </w:rPr>
      </w:r>
      <w:r>
        <w:rPr>
          <w:lang w:val="hi_IN" w:bidi="hi_IN"/>
        </w:rP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hyperlink r:id="rId29">
        <w:r>
          <w:rPr>
            <w:lang w:val="hi_IN" w:bidi="hi_IN"/>
          </w:rPr>
          <w:rPr>
            <w:color w:val="0000EE"/>
            <w:u w:val="single"/>
          </w:rPr>
          <w:t>2 शमू 5:6–8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pPr/>
      <w:r>
        <w:rPr>
          <w:lang w:val="hi_IN" w:bidi="hi_IN"/>
        </w:rPr>
      </w:r>
      <w:r>
        <w:rPr>
          <w:lang w:val="hi_IN" w:bidi="hi_IN"/>
        </w:rP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pPr/>
      <w:r>
        <w:rPr>
          <w:lang w:val="hi_IN" w:bidi="hi_IN"/>
        </w:rPr>
      </w:r>
      <w:r>
        <w:rPr>
          <w:lang w:val="hi_IN" w:bidi="hi_IN"/>
        </w:rP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pPr/>
      <w:r>
        <w:rPr>
          <w:lang w:val="hi_IN" w:bidi="hi_IN"/>
        </w:rPr>
      </w:r>
      <w:r>
        <w:rPr>
          <w:lang w:val="hi_IN" w:bidi="hi_IN"/>
        </w:rP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pPr/>
      <w:r>
        <w:rPr>
          <w:lang w:val="hi_IN" w:bidi="hi_IN"/>
        </w:rPr>
      </w:r>
      <w:r>
        <w:rPr>
          <w:lang w:val="hi_IN" w:bidi="hi_IN"/>
        </w:rP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