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2"/>
      </w:pPr>
      <w:r>
        <w:rPr>
          <w:lang w:val="id_ID" w:bidi="id_ID"/>
        </w:rPr>
        <w:t>Keadaan</w:t>
      </w:r>
    </w:p>
    <w:p>
      <w:pPr/>
      <w:r>
        <w:rPr>
          <w:lang w:val="id_ID" w:bidi="id_ID"/>
        </w:rPr>
      </w:r>
      <w:r>
        <w:rPr>
          <w:lang w:val="id_ID" w:bidi="id_ID"/>
        </w:rP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hyperlink r:id="rId13">
        <w:r>
          <w:rPr>
            <w:lang w:val="id_ID" w:bidi="id_ID"/>
          </w:rPr>
          <w:rPr>
            <w:color w:val="0000EE"/>
            <w:u w:val="single"/>
          </w:rPr>
          <w:t>Dan. 1: 1–5</w:t>
        </w:r>
      </w:hyperlink>
      <w:r>
        <w:rPr>
          <w:lang w:val="id_ID" w:bidi="id_ID"/>
        </w:rPr>
        <w:t>).</w:t>
      </w:r>
    </w:p>
    <w:p>
      <w:pPr/>
      <w:r>
        <w:rPr>
          <w:lang w:val="id_ID" w:bidi="id_ID"/>
        </w:rPr>
      </w:r>
      <w:r>
        <w:rPr>
          <w:lang w:val="id_ID" w:bidi="id_ID"/>
        </w:rP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pPr/>
      <w:r>
        <w:rPr>
          <w:lang w:val="id_ID" w:bidi="id_ID"/>
        </w:rPr>
      </w:r>
      <w:r>
        <w:rPr>
          <w:lang w:val="id_ID" w:bidi="id_ID"/>
        </w:rP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pPr/>
      <w:r>
        <w:rPr>
          <w:lang w:val="id_ID" w:bidi="id_ID"/>
        </w:rPr>
      </w:r>
      <w:r>
        <w:rPr>
          <w:lang w:val="id_ID" w:bidi="id_ID"/>
        </w:rPr>
        <w:t xml:space="preserve">Penglihatan pertama Yehezkiel terjadi di Babel pada tahun 593 SM, ketika dia berusia tiga puluh tahun (Yehezkiel </w:t>
      </w:r>
      <w:hyperlink r:id="rId14">
        <w:r>
          <w:rPr>
            <w:lang w:val="id_ID" w:bidi="id_ID"/>
          </w:rPr>
          <w:rPr>
            <w:color w:val="0000EE"/>
            <w:u w:val="single"/>
          </w:rPr>
          <w:t>1:1–2</w:t>
        </w:r>
      </w:hyperlink>
      <w:r>
        <w:rPr>
          <w:lang w:val="id_ID" w:bidi="id_ID"/>
        </w:rPr>
        <w:t>).</w:t>
      </w:r>
    </w:p>
    <w:p>
      <w:pPr>
        <w:pStyle w:val="Heading2"/>
      </w:pPr>
      <w:r>
        <w:rPr>
          <w:lang w:val="id_ID" w:bidi="id_ID"/>
        </w:rPr>
        <w:t>Ringkasan</w:t>
      </w:r>
    </w:p>
    <w:p>
      <w:pPr/>
      <w:r>
        <w:rPr>
          <w:lang w:val="id_ID" w:bidi="id_ID"/>
        </w:rPr>
      </w:r>
      <w:r>
        <w:rPr>
          <w:lang w:val="id_ID" w:bidi="id_ID"/>
        </w:rP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pPr/>
      <w:r>
        <w:rPr>
          <w:lang w:val="id_ID" w:bidi="id_ID"/>
        </w:rPr>
      </w:r>
      <w:hyperlink r:id="rId15">
        <w:r>
          <w:rPr>
            <w:lang w:val="id_ID" w:bidi="id_ID"/>
          </w:rPr>
          <w:rPr>
            <w:color w:val="0000EE"/>
            <w:u w:val="single"/>
          </w:rPr>
          <w:t>Pasal 1–3</w:t>
        </w:r>
      </w:hyperlink>
      <w:r>
        <w:rPr>
          <w:lang w:val="id_ID" w:bidi="id_ID"/>
        </w:rPr>
        <w:t xml:space="preserve"> menceritakan tentang panggilan dan pengutusan Yehezkiel sebagai seorang nabi. Penglihatan pembukaannya menceritakan tentang kemuliaan Tuhan, yang secara tidak menyenangkan sedang bergerak (</w:t>
      </w:r>
      <w:hyperlink r:id="rId16">
        <w:r>
          <w:rPr>
            <w:lang w:val="id_ID" w:bidi="id_ID"/>
          </w:rPr>
          <w:rPr>
            <w:color w:val="0000EE"/>
            <w:u w:val="single"/>
          </w:rPr>
          <w:t>1:4–28</w:t>
        </w:r>
      </w:hyperlink>
      <w:r>
        <w:rPr>
          <w:lang w:val="id_ID" w:bidi="id_ID"/>
        </w:rPr>
        <w:t>). Dengan gambaran berupa gerakan dan penghakiman, penglihatan itu menggambarkan Tuhan sebagai pejuang ilahi dalam kereta surgawinya, datang untuk menghakimi umat-Nya. Selama pemanggilan Yehezkiel (</w:t>
      </w:r>
      <w:hyperlink r:id="rId17">
        <w:r>
          <w:rPr>
            <w:lang w:val="id_ID" w:bidi="id_ID"/>
          </w:rPr>
          <w:rPr>
            <w:color w:val="0000EE"/>
            <w:u w:val="single"/>
          </w:rPr>
          <w:t>2:1–3:15</w:t>
        </w:r>
      </w:hyperlink>
      <w:r>
        <w:rPr>
          <w:lang w:val="id_ID" w:bidi="id_ID"/>
        </w:rPr>
        <w:t>), Roh Kudus memberitahunya bahwa orang Yehuda yang keras kepala dan pemberontak tidak akan mendengarkan pesannya. Namun, Tuhan ingin Yehezkiel sama keras kepalanya dalam menyampaikan pesan-Nya dengan setia. Seperti seorang penjaga (</w:t>
      </w:r>
      <w:hyperlink r:id="rId18">
        <w:r>
          <w:rPr>
            <w:lang w:val="id_ID" w:bidi="id_ID"/>
          </w:rPr>
          <w:rPr>
            <w:color w:val="0000EE"/>
            <w:u w:val="single"/>
          </w:rPr>
          <w:t>3:16–27</w:t>
        </w:r>
      </w:hyperlink>
      <w:r>
        <w:rPr>
          <w:lang w:val="id_ID" w:bidi="id_ID"/>
        </w:rPr>
        <w:t>), dia harus membunyikan alarm dengan jelas dan tegas. Allah akan meminta pertanggungjawaban nabi untuk menyampaikan pesan itu, bukan atas tanggapan orang-orang.</w:t>
      </w:r>
    </w:p>
    <w:p>
      <w:pPr/>
      <w:r>
        <w:rPr>
          <w:lang w:val="id_ID" w:bidi="id_ID"/>
        </w:rPr>
      </w:r>
      <w:r>
        <w:rPr>
          <w:lang w:val="id_ID" w:bidi="id_ID"/>
        </w:rPr>
        <w:t xml:space="preserve">Dalam </w:t>
      </w:r>
      <w:hyperlink r:id="rId19">
        <w:r>
          <w:rPr>
            <w:lang w:val="id_ID" w:bidi="id_ID"/>
          </w:rPr>
          <w:rPr>
            <w:color w:val="0000EE"/>
            <w:u w:val="single"/>
          </w:rPr>
          <w:t>pasal 4–24</w:t>
        </w:r>
      </w:hyperlink>
      <w:r>
        <w:rPr>
          <w:lang w:val="id_ID" w:bidi="id_ID"/>
        </w:rPr>
        <w:t xml:space="preserve">, Yehezkiel menyampaikan serangkaian malapetaka terhadap Yehuda dan Yerusalem. Nabi itu melakukan serangkaian tindakan simbolik yang menggambarkan pengepungan dan kehancuran Yerusalem yang akan datang. </w:t>
      </w:r>
      <w:hyperlink r:id="rId20">
        <w:r>
          <w:rPr>
            <w:lang w:val="id_ID" w:bidi="id_ID"/>
          </w:rPr>
          <w:rPr>
            <w:color w:val="0000EE"/>
            <w:u w:val="single"/>
          </w:rPr>
          <w:t>Pasal 8–11</w:t>
        </w:r>
      </w:hyperlink>
      <w:r>
        <w:rPr>
          <w:lang w:val="id_ID" w:bidi="id_ID"/>
        </w:rP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hyperlink r:id="rId21">
        <w:r>
          <w:rPr>
            <w:lang w:val="id_ID" w:bidi="id_ID"/>
          </w:rPr>
          <w:rPr>
            <w:color w:val="0000EE"/>
            <w:u w:val="single"/>
          </w:rPr>
          <w:t>psl. 24</w:t>
        </w:r>
      </w:hyperlink>
      <w:r>
        <w:rPr>
          <w:lang w:val="id_ID" w:bidi="id_ID"/>
        </w:rPr>
        <w:t>).</w:t>
      </w:r>
    </w:p>
    <w:p>
      <w:pPr/>
      <w:r>
        <w:rPr>
          <w:lang w:val="id_ID" w:bidi="id_ID"/>
        </w:rPr>
      </w:r>
      <w:r>
        <w:rPr>
          <w:lang w:val="id_ID" w:bidi="id_ID"/>
        </w:rPr>
        <w:t>Kemudian Yehezkiel beralih ke harapan, dimulai dengan tujuh pesan (</w:t>
      </w:r>
      <w:hyperlink r:id="rId22">
        <w:r>
          <w:rPr>
            <w:lang w:val="id_ID" w:bidi="id_ID"/>
          </w:rPr>
          <w:rPr>
            <w:color w:val="0000EE"/>
            <w:u w:val="single"/>
          </w:rPr>
          <w:t>psl. 25–32</w:t>
        </w:r>
      </w:hyperlink>
      <w:r>
        <w:rPr>
          <w:lang w:val="id_ID" w:bidi="id_ID"/>
        </w:rPr>
        <w:t>) yang menuduh bangsa-bangsa sekitarnya karena telah membantu orang Babel dan karena bersukacita atas kejatuhan Yerusalem. Pesan-pesan ini menunjukkan bahwa janji yang Allah buat kepada Abraham tetap utuh: “Aku akan . . . mengutuk orang-orang yang memandang engkau dengan hina” (</w:t>
      </w:r>
      <w:hyperlink r:id="rId23">
        <w:r>
          <w:rPr>
            <w:lang w:val="id_ID" w:bidi="id_ID"/>
          </w:rPr>
          <w:rPr>
            <w:color w:val="0000EE"/>
            <w:u w:val="single"/>
          </w:rPr>
          <w:t>Kej. 12:3</w:t>
        </w:r>
      </w:hyperlink>
      <w:r>
        <w:rPr>
          <w:lang w:val="id_ID" w:bidi="id_ID"/>
        </w:rPr>
        <w:t>). Penghakiman Allah akan menimpa semua yang bersukacita atas kejatuhan umat-Nya dan yang mengambil keuntungan dari kehancuran mereka.</w:t>
      </w:r>
    </w:p>
    <w:p>
      <w:pPr/>
      <w:r>
        <w:rPr>
          <w:lang w:val="id_ID" w:bidi="id_ID"/>
        </w:rPr>
      </w:r>
      <w:hyperlink r:id="rId24">
        <w:r>
          <w:rPr>
            <w:lang w:val="id_ID" w:bidi="id_ID"/>
          </w:rPr>
          <w:rPr>
            <w:color w:val="0000EE"/>
            <w:u w:val="single"/>
          </w:rPr>
          <w:t>Pasal 33–48</w:t>
        </w:r>
      </w:hyperlink>
      <w:r>
        <w:rPr>
          <w:lang w:val="id_ID" w:bidi="id_ID"/>
        </w:rPr>
        <w:t xml:space="preserve"> melengkapi perpindahan dari penghakiman ke harapan, dimulai dengan momen penting ketika para buangan akhirnya mendengar berita tentang kehancuran Yerusalem (</w:t>
      </w:r>
      <w:hyperlink r:id="rId25">
        <w:r>
          <w:rPr>
            <w:lang w:val="id_ID" w:bidi="id_ID"/>
          </w:rPr>
          <w:rPr>
            <w:color w:val="0000EE"/>
            <w:u w:val="single"/>
          </w:rPr>
          <w:t>33:21</w:t>
        </w:r>
      </w:hyperlink>
      <w:r>
        <w:rPr>
          <w:lang w:val="id_ID" w:bidi="id_ID"/>
        </w:rP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hyperlink r:id="rId26">
        <w:r>
          <w:rPr>
            <w:lang w:val="id_ID" w:bidi="id_ID"/>
          </w:rPr>
          <w:rPr>
            <w:color w:val="0000EE"/>
            <w:u w:val="single"/>
          </w:rPr>
          <w:t>psl. 34–37</w:t>
        </w:r>
      </w:hyperlink>
      <w:r>
        <w:rPr>
          <w:lang w:val="id_ID" w:bidi="id_ID"/>
        </w:rPr>
        <w:t>). Awan gelap perang mengancam gambaran berkat ini (</w:t>
      </w:r>
      <w:hyperlink r:id="rId27">
        <w:r>
          <w:rPr>
            <w:lang w:val="id_ID" w:bidi="id_ID"/>
          </w:rPr>
          <w:rPr>
            <w:color w:val="0000EE"/>
            <w:u w:val="single"/>
          </w:rPr>
          <w:t>psl. 38–39</w:t>
        </w:r>
      </w:hyperlink>
      <w:r>
        <w:rPr>
          <w:lang w:val="id_ID" w:bidi="id_ID"/>
        </w:rPr>
        <w:t>), tetapi Tuhan menunjukkan kepastian keadaan baru tersebut. Tuhan mengumpulkan pasukan Gog dan sekutunya, bukan untuk menghakimi umat-Nya yang telah menetap dengan damai, tetapi untuk menghancurkan musuh mereka sekali untuk selamanya.</w:t>
      </w:r>
    </w:p>
    <w:p>
      <w:pPr/>
      <w:r>
        <w:rPr>
          <w:lang w:val="id_ID" w:bidi="id_ID"/>
        </w:rPr>
      </w:r>
      <w:r>
        <w:rPr>
          <w:lang w:val="id_ID" w:bidi="id_ID"/>
        </w:rPr>
        <w:t>Setelah Allah mengalahkan Gog dan sekutunya, Ia dapat menyatakan Bait Suci terakhir dan tanah yang diatur kembali (</w:t>
      </w:r>
      <w:hyperlink r:id="rId28">
        <w:r>
          <w:rPr>
            <w:lang w:val="id_ID" w:bidi="id_ID"/>
          </w:rPr>
          <w:rPr>
            <w:color w:val="0000EE"/>
            <w:u w:val="single"/>
          </w:rPr>
          <w:t>psl. 40–48</w:t>
        </w:r>
      </w:hyperlink>
      <w:r>
        <w:rPr>
          <w:lang w:val="id_ID" w:bidi="id_ID"/>
        </w:rP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2"/>
      </w:pPr>
      <w:r>
        <w:rPr>
          <w:lang w:val="id_ID" w:bidi="id_ID"/>
        </w:rPr>
        <w:t>Kepengarangan dan Tanggal</w:t>
      </w:r>
    </w:p>
    <w:p>
      <w:pPr/>
      <w:r>
        <w:rPr>
          <w:lang w:val="id_ID" w:bidi="id_ID"/>
        </w:rPr>
      </w:r>
      <w:r>
        <w:rPr>
          <w:lang w:val="id_ID" w:bidi="id_ID"/>
        </w:rPr>
        <w:t>Dalam ayat-ayat pembuka kitab ini, nabi Yehezkiel menyatakan dirinya sebagai penulis (</w:t>
      </w:r>
      <w:hyperlink r:id="rId29">
        <w:r>
          <w:rPr>
            <w:lang w:val="id_ID" w:bidi="id_ID"/>
          </w:rPr>
          <w:rPr>
            <w:color w:val="0000EE"/>
            <w:u w:val="single"/>
          </w:rPr>
          <w:t>1:3</w:t>
        </w:r>
      </w:hyperlink>
      <w:r>
        <w:rPr>
          <w:lang w:val="id_ID" w:bidi="id_ID"/>
        </w:rP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2"/>
      </w:pPr>
      <w:r>
        <w:rPr>
          <w:lang w:val="id_ID" w:bidi="id_ID"/>
        </w:rPr>
        <w:t>Makna dan Pesan</w:t>
      </w:r>
    </w:p>
    <w:p>
      <w:pPr/>
      <w:r>
        <w:rPr>
          <w:lang w:val="id_ID" w:bidi="id_ID"/>
        </w:rPr>
      </w:r>
      <w:r>
        <w:rPr>
          <w:lang w:val="id_ID" w:bidi="id_ID"/>
        </w:rP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pPr/>
      <w:r>
        <w:rPr>
          <w:lang w:val="id_ID" w:bidi="id_ID"/>
        </w:rPr>
      </w:r>
      <w:r>
        <w:rPr>
          <w:lang w:val="id_ID" w:bidi="id_ID"/>
        </w:rP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pPr/>
      <w:r>
        <w:rPr>
          <w:lang w:val="id_ID" w:bidi="id_ID"/>
        </w:rPr>
      </w:r>
      <w:r>
        <w:rPr>
          <w:lang w:val="id_ID" w:bidi="id_ID"/>
        </w:rP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hyperlink r:id="rId30">
        <w:r>
          <w:rPr>
            <w:lang w:val="id_ID" w:bidi="id_ID"/>
          </w:rPr>
          <w:rPr>
            <w:color w:val="0000EE"/>
            <w:u w:val="single"/>
          </w:rPr>
          <w:t>33:10</w:t>
        </w:r>
      </w:hyperlink>
      <w:r>
        <w:rPr>
          <w:lang w:val="id_ID" w:bidi="id_ID"/>
        </w:rP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pPr/>
      <w:r>
        <w:rPr>
          <w:lang w:val="id_ID" w:bidi="id_ID"/>
        </w:rPr>
      </w:r>
      <w:r>
        <w:rPr>
          <w:lang w:val="id_ID" w:bidi="id_ID"/>
        </w:rP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hyperlink r:id="rId31">
        <w:r>
          <w:rPr>
            <w:lang w:val="id_ID" w:bidi="id_ID"/>
          </w:rPr>
          <w:rPr>
            <w:color w:val="0000EE"/>
            <w:u w:val="single"/>
          </w:rPr>
          <w:t>11:16</w:t>
        </w:r>
      </w:hyperlink>
      <w:r>
        <w:rPr>
          <w:lang w:val="id_ID" w:bidi="id_ID"/>
        </w:rPr>
        <w:t>), di mana Yehezkiel sendiri pertama kali melihat kemuliaan Tuhan (</w:t>
      </w:r>
      <w:hyperlink r:id="rId32">
        <w:r>
          <w:rPr>
            <w:lang w:val="id_ID" w:bidi="id_ID"/>
          </w:rPr>
          <w:rPr>
            <w:color w:val="0000EE"/>
            <w:u w:val="single"/>
          </w:rPr>
          <w:t>1:1</w:t>
        </w:r>
      </w:hyperlink>
      <w:r>
        <w:rPr>
          <w:lang w:val="id_ID" w:bidi="id_ID"/>
        </w:rPr>
        <w:t>). Allah masih mengendalikan semua hal, bahkan upaya raja Nebukadnezar Babel untuk berkonsultasi dengan dewanya sendiri melalui peramalan (</w:t>
      </w:r>
      <w:hyperlink r:id="rId33">
        <w:r>
          <w:rPr>
            <w:lang w:val="id_ID" w:bidi="id_ID"/>
          </w:rPr>
          <w:rPr>
            <w:color w:val="0000EE"/>
            <w:u w:val="single"/>
          </w:rPr>
          <w:t>21:21–23</w:t>
        </w:r>
      </w:hyperlink>
      <w:r>
        <w:rPr>
          <w:lang w:val="id_ID" w:bidi="id_ID"/>
        </w:rPr>
        <w:t xml:space="preserve">; bandingkan Dan. </w:t>
      </w:r>
      <w:hyperlink r:id="rId34">
        <w:r>
          <w:rPr>
            <w:lang w:val="id_ID" w:bidi="id_ID"/>
          </w:rPr>
          <w:rPr>
            <w:color w:val="0000EE"/>
            <w:u w:val="single"/>
          </w:rPr>
          <w:t>2–4</w:t>
        </w:r>
      </w:hyperlink>
      <w:r>
        <w:rPr>
          <w:lang w:val="id_ID" w:bidi="id_ID"/>
        </w:rPr>
        <w:t>). Allah telah menetapkan kehancuran Yerusalem karena dosa-dosanya; Nebukadnezar hanyalah bertindak sebagai agen Allah.</w:t>
      </w:r>
    </w:p>
    <w:p>
      <w:pPr/>
      <w:r>
        <w:rPr>
          <w:lang w:val="id_ID" w:bidi="id_ID"/>
        </w:rPr>
      </w:r>
      <w:r>
        <w:rPr>
          <w:lang w:val="id_ID" w:bidi="id_ID"/>
        </w:rPr>
        <w:t>Kehancuran Yerusalem bukanlah akhir dari cerita bagi umat Allah. Allah telah berjanji untuk memberkati keturunan Abraham, menjadikan mereka bangsa yang perkasa dan memberkati semua bangsa melalui mereka. Nubuat para nabi terhadap bangsa-bangsa di sekitar Yehuda (</w:t>
      </w:r>
      <w:hyperlink r:id="rId22">
        <w:r>
          <w:rPr>
            <w:lang w:val="id_ID" w:bidi="id_ID"/>
          </w:rPr>
          <w:rPr>
            <w:color w:val="0000EE"/>
            <w:u w:val="single"/>
          </w:rPr>
          <w:t>Yeh 25–32</w:t>
        </w:r>
      </w:hyperlink>
      <w:r>
        <w:rPr>
          <w:lang w:val="id_ID" w:bidi="id_ID"/>
        </w:rPr>
        <w:t>) menunjukkan bahwa Allah tidak melupakan janji-Nya di masa lampau bahwa mereka yang bersukacita atas kejatuhan Israel akan diadili dengan berat. Allah tidak akan selamanya meninggalkan umat-Nya. Suatu hari Dia akan kembali menjadi gembala mereka (</w:t>
      </w:r>
      <w:hyperlink r:id="rId35">
        <w:r>
          <w:rPr>
            <w:lang w:val="id_ID" w:bidi="id_ID"/>
          </w:rPr>
          <w:rPr>
            <w:color w:val="0000EE"/>
            <w:u w:val="single"/>
          </w:rPr>
          <w:t>34:11</w:t>
        </w:r>
      </w:hyperlink>
      <w:r>
        <w:rPr>
          <w:lang w:val="id_ID" w:bidi="id_ID"/>
        </w:rP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pPr/>
      <w:r>
        <w:rPr>
          <w:lang w:val="id_ID" w:bidi="id_ID"/>
        </w:rPr>
      </w:r>
      <w:r>
        <w:rPr>
          <w:lang w:val="id_ID" w:bidi="id_ID"/>
        </w:rPr>
        <w:t>Yehezkiel menunjuk ke harapan yang lebih besar yang digenapi di dalam Yesus Kristus. Melalui Kristus, kemuliaan Allah sepenuhnya berdiam di antara kita sebagai terang dalam kegelapan pembuangan kita (</w:t>
      </w:r>
      <w:hyperlink r:id="rId31">
        <w:r>
          <w:rPr>
            <w:lang w:val="id_ID" w:bidi="id_ID"/>
          </w:rPr>
          <w:rPr>
            <w:color w:val="0000EE"/>
            <w:u w:val="single"/>
          </w:rPr>
          <w:t>11:16</w:t>
        </w:r>
      </w:hyperlink>
      <w:r>
        <w:rPr>
          <w:lang w:val="id_ID" w:bidi="id_ID"/>
        </w:rPr>
        <w:t xml:space="preserve">; </w:t>
      </w:r>
      <w:hyperlink r:id="rId36">
        <w:r>
          <w:rPr>
            <w:lang w:val="id_ID" w:bidi="id_ID"/>
          </w:rPr>
          <w:rPr>
            <w:color w:val="0000EE"/>
            <w:u w:val="single"/>
          </w:rPr>
          <w:t>43:1–5</w:t>
        </w:r>
      </w:hyperlink>
      <w:r>
        <w:rPr>
          <w:lang w:val="id_ID" w:bidi="id_ID"/>
        </w:rPr>
        <w:t xml:space="preserve">; </w:t>
      </w:r>
      <w:hyperlink r:id="rId37">
        <w:r>
          <w:rPr>
            <w:lang w:val="id_ID" w:bidi="id_ID"/>
          </w:rPr>
          <w:rPr>
            <w:color w:val="0000EE"/>
            <w:u w:val="single"/>
          </w:rPr>
          <w:t>Yohanes 1:14</w:t>
        </w:r>
      </w:hyperlink>
      <w:r>
        <w:rPr>
          <w:lang w:val="id_ID" w:bidi="id_ID"/>
        </w:rPr>
        <w:t xml:space="preserve">). Gembala yang Baik memulihkan keadilan bagi domba-dombanya (Yeh. </w:t>
      </w:r>
      <w:hyperlink r:id="rId38">
        <w:r>
          <w:rPr>
            <w:lang w:val="id_ID" w:bidi="id_ID"/>
          </w:rPr>
          <w:rPr>
            <w:color w:val="0000EE"/>
            <w:u w:val="single"/>
          </w:rPr>
          <w:t>34:1–24</w:t>
        </w:r>
      </w:hyperlink>
      <w:r>
        <w:rPr>
          <w:lang w:val="id_ID" w:bidi="id_ID"/>
        </w:rPr>
        <w:t xml:space="preserve">; </w:t>
      </w:r>
      <w:hyperlink r:id="rId39">
        <w:r>
          <w:rPr>
            <w:lang w:val="id_ID" w:bidi="id_ID"/>
          </w:rPr>
          <w:rPr>
            <w:color w:val="0000EE"/>
            <w:u w:val="single"/>
          </w:rPr>
          <w:t>Yohanes 10:11</w:t>
        </w:r>
      </w:hyperlink>
      <w:r>
        <w:rPr>
          <w:lang w:val="id_ID" w:bidi="id_ID"/>
        </w:rPr>
        <w:t>). Dia memenuhi kita dengan Roh-Nya dan menjadikan kita ciptaan baru di dalam Dia (</w:t>
      </w:r>
      <w:hyperlink r:id="rId40">
        <w:r>
          <w:rPr>
            <w:lang w:val="id_ID" w:bidi="id_ID"/>
          </w:rPr>
          <w:rPr>
            <w:color w:val="0000EE"/>
            <w:u w:val="single"/>
          </w:rPr>
          <w:t>Yeh 36:26–28</w:t>
        </w:r>
      </w:hyperlink>
      <w:r>
        <w:rPr>
          <w:lang w:val="id_ID" w:bidi="id_ID"/>
        </w:rPr>
        <w:t xml:space="preserve">; </w:t>
      </w:r>
      <w:hyperlink r:id="rId41">
        <w:r>
          <w:rPr>
            <w:lang w:val="id_ID" w:bidi="id_ID"/>
          </w:rPr>
          <w:rPr>
            <w:color w:val="0000EE"/>
            <w:u w:val="single"/>
          </w:rPr>
          <w:t>37:1–14</w:t>
        </w:r>
      </w:hyperlink>
      <w:r>
        <w:rPr>
          <w:lang w:val="id_ID" w:bidi="id_ID"/>
        </w:rPr>
        <w:t xml:space="preserve">; 2 Korintus </w:t>
      </w:r>
      <w:hyperlink r:id="rId42">
        <w:r>
          <w:rPr>
            <w:lang w:val="id_ID" w:bidi="id_ID"/>
          </w:rPr>
          <w:rPr>
            <w:color w:val="0000EE"/>
            <w:u w:val="single"/>
          </w:rPr>
          <w:t>5:17</w:t>
        </w:r>
      </w:hyperlink>
      <w:r>
        <w:rPr>
          <w:lang w:val="id_ID" w:bidi="id_ID"/>
        </w:rPr>
        <w:t>). Mereka yang telah bersekutu dengan Kristus memiliki akses yang lebih besar lagi ke hadirat Allah daripada yang diantisipasi oleh penglihatan Yehezkiel. Mereka dapat dengan bebas mendekati takhta kasih karunia dan minum dari air kehidupan yang mengalir dari takhta itu (</w:t>
      </w:r>
      <w:hyperlink r:id="rId43">
        <w:r>
          <w:rPr>
            <w:lang w:val="id_ID" w:bidi="id_ID"/>
          </w:rPr>
          <w:rPr>
            <w:color w:val="0000EE"/>
            <w:u w:val="single"/>
          </w:rPr>
          <w:t>Yeh. 47:1–11</w:t>
        </w:r>
      </w:hyperlink>
      <w:r>
        <w:rPr>
          <w:lang w:val="id_ID" w:bidi="id_ID"/>
        </w:rPr>
        <w:t xml:space="preserve">; </w:t>
      </w:r>
      <w:hyperlink r:id="rId44">
        <w:r>
          <w:rPr>
            <w:lang w:val="id_ID" w:bidi="id_ID"/>
          </w:rPr>
          <w:rPr>
            <w:color w:val="0000EE"/>
            <w:u w:val="single"/>
          </w:rPr>
          <w:t>Why. 22:1–5</w:t>
        </w:r>
      </w:hyperlink>
      <w:r>
        <w:rPr>
          <w:lang w:val="id_ID" w:bidi="id_ID"/>
        </w:rPr>
        <w:t>). Semua yang diantisipasi oleh Yehezkiel—dan bahkan lebih banyak lagi—adalah milik kita di dalam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