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hyperlink r:id="rId13">
        <w:r>
          <w:rPr>
            <w:lang w:val="pt_PT" w:bidi="pt_PT"/>
          </w:rPr>
          <w:rPr>
            <w:color w:val="0000EE"/>
            <w:u w:val="single"/>
          </w:rPr>
          <w:t>1Rs 10.23</w:t>
        </w:r>
      </w:hyperlink>
      <w:r>
        <w:rPr>
          <w:lang w:val="pt_PT" w:bidi="pt_PT"/>
        </w:rPr>
        <w:t>). A Rainha de Sabá confirmou a glória do reino de Salomão, dizendo: “Tudo o que ouvi no meu país sobre suas realizações e sabedoria é verdade! Eu não acreditei no que foi dito até chegar aqui e ver com meus próprios olhos” (</w:t>
      </w:r>
      <w:hyperlink r:id="rId14">
        <w:r>
          <w:rPr>
            <w:lang w:val="pt_PT" w:bidi="pt_PT"/>
          </w:rPr>
          <w:rPr>
            <w:color w:val="0000EE"/>
            <w:u w:val="single"/>
          </w:rPr>
          <w:t>10.6–7</w:t>
        </w:r>
      </w:hyperlink>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hyperlink r:id="rId15">
        <w:r>
          <w:rPr>
            <w:lang w:val="pt_PT" w:bidi="pt_PT"/>
          </w:rPr>
          <w:rPr>
            <w:color w:val="0000EE"/>
            <w:u w:val="single"/>
          </w:rPr>
          <w:t>4.21</w:t>
        </w:r>
      </w:hyperlink>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6">
        <w:r>
          <w:rPr>
            <w:lang w:val="pt_PT" w:bidi="pt_PT"/>
          </w:rPr>
          <w:rPr>
            <w:color w:val="0000EE"/>
            <w:u w:val="single"/>
          </w:rPr>
          <w:t>11.4</w:t>
        </w:r>
      </w:hyperlink>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7">
        <w:r>
          <w:rPr>
            <w:lang w:val="pt_PT" w:bidi="pt_PT"/>
          </w:rPr>
          <w:rPr>
            <w:color w:val="0000EE"/>
            <w:u w:val="single"/>
          </w:rPr>
          <w:t>20</w:t>
        </w:r>
      </w:hyperlink>
      <w:r>
        <w:rPr>
          <w:lang w:val="pt_PT" w:bidi="pt_PT"/>
        </w:rPr>
        <w:t xml:space="preserve">, </w:t>
      </w:r>
      <w:hyperlink r:id="rId18">
        <w:r>
          <w:rPr>
            <w:lang w:val="pt_PT" w:bidi="pt_PT"/>
          </w:rPr>
          <w:rPr>
            <w:color w:val="0000EE"/>
            <w:u w:val="single"/>
          </w:rPr>
          <w:t>22</w:t>
        </w:r>
      </w:hyperlink>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19">
        <w:r>
          <w:rPr>
            <w:lang w:val="pt_PT" w:bidi="pt_PT"/>
          </w:rPr>
          <w:rPr>
            <w:color w:val="0000EE"/>
            <w:u w:val="single"/>
          </w:rPr>
          <w:t>2Rs 17.21–23</w:t>
        </w:r>
      </w:hyperlink>
      <w:r>
        <w:rPr>
          <w:lang w:val="pt_PT" w:bidi="pt_PT"/>
        </w:rPr>
        <w:t>). Os dois primeiros reis de Judá, Roboão e Abias, tiveram lapsos espirituais, enquanto os dois reis subsequentes, Asa e Josafá, mantiveram uma fidelidade espiritual maior, embora não perfeita (</w:t>
      </w:r>
      <w:hyperlink r:id="rId20">
        <w:r>
          <w:rPr>
            <w:lang w:val="pt_PT" w:bidi="pt_PT"/>
          </w:rPr>
          <w:rPr>
            <w:color w:val="0000EE"/>
            <w:u w:val="single"/>
          </w:rPr>
          <w:t>1Rs 15.11</w:t>
        </w:r>
      </w:hyperlink>
      <w:r>
        <w:rPr>
          <w:lang w:val="pt_PT" w:bidi="pt_PT"/>
        </w:rPr>
        <w:t xml:space="preserve">; </w:t>
      </w:r>
      <w:hyperlink r:id="rId21">
        <w:r>
          <w:rPr>
            <w:lang w:val="pt_PT" w:bidi="pt_PT"/>
          </w:rPr>
          <w:rPr>
            <w:color w:val="0000EE"/>
            <w:u w:val="single"/>
          </w:rPr>
          <w:t>22.43</w:t>
        </w:r>
      </w:hyperlink>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2">
        <w:r>
          <w:rPr>
            <w:lang w:val="pt_PT" w:bidi="pt_PT"/>
          </w:rPr>
          <w:rPr>
            <w:color w:val="0000EE"/>
            <w:u w:val="single"/>
          </w:rPr>
          <w:t>1.1–2.46</w:t>
        </w:r>
      </w:hyperlink>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3">
        <w:r>
          <w:rPr>
            <w:lang w:val="pt_PT" w:bidi="pt_PT"/>
          </w:rPr>
          <w:rPr>
            <w:color w:val="0000EE"/>
            <w:u w:val="single"/>
          </w:rPr>
          <w:t>11.1–13</w:t>
        </w:r>
      </w:hyperlink>
      <w:r>
        <w:rPr>
          <w:lang w:val="pt_PT" w:bidi="pt_PT"/>
        </w:rPr>
        <w:t xml:space="preserve">) e as medidas administrativas opressivas (e.g., </w:t>
      </w:r>
      <w:hyperlink r:id="rId24">
        <w:r>
          <w:rPr>
            <w:lang w:val="pt_PT" w:bidi="pt_PT"/>
          </w:rPr>
          <w:rPr>
            <w:color w:val="0000EE"/>
            <w:u w:val="single"/>
          </w:rPr>
          <w:t>5.13–18</w:t>
        </w:r>
      </w:hyperlink>
      <w:r>
        <w:rPr>
          <w:lang w:val="pt_PT" w:bidi="pt_PT"/>
        </w:rPr>
        <w:t>) incitaram adversários políticos tanto dentro quanto fora do país (</w:t>
      </w:r>
      <w:hyperlink r:id="rId25">
        <w:r>
          <w:rPr>
            <w:lang w:val="pt_PT" w:bidi="pt_PT"/>
          </w:rPr>
          <w:rPr>
            <w:color w:val="0000EE"/>
            <w:u w:val="single"/>
          </w:rPr>
          <w:t>11.14–40</w:t>
        </w:r>
      </w:hyperlink>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hyperlink r:id="rId26">
        <w:r>
          <w:rPr>
            <w:lang w:val="pt_PT" w:bidi="pt_PT"/>
          </w:rPr>
          <w:rPr>
            <w:color w:val="0000EE"/>
            <w:u w:val="single"/>
          </w:rPr>
          <w:t>3.5–15</w:t>
        </w:r>
      </w:hyperlink>
      <w:r>
        <w:rPr>
          <w:lang w:val="pt_PT" w:bidi="pt_PT"/>
        </w:rPr>
        <w:t>), o que resultou em grande prosperidade e honra (</w:t>
      </w:r>
      <w:hyperlink r:id="rId27">
        <w:r>
          <w:rPr>
            <w:lang w:val="pt_PT" w:bidi="pt_PT"/>
          </w:rPr>
          <w:rPr>
            <w:color w:val="0000EE"/>
            <w:u w:val="single"/>
          </w:rPr>
          <w:t>3.16–8.66</w:t>
        </w:r>
      </w:hyperlink>
      <w:r>
        <w:rPr>
          <w:lang w:val="pt_PT" w:bidi="pt_PT"/>
        </w:rPr>
        <w:t>). Após Salomão concluir a construção do Templo e do palácio, Deus o visitou uma segunda vez para lembrá-lo de que seu sucesso contínuo dependeria da fidelidade espiritual (</w:t>
      </w:r>
      <w:hyperlink r:id="rId28">
        <w:r>
          <w:rPr>
            <w:lang w:val="pt_PT" w:bidi="pt_PT"/>
          </w:rPr>
          <w:rPr>
            <w:color w:val="0000EE"/>
            <w:u w:val="single"/>
          </w:rPr>
          <w:t>9.1–9</w:t>
        </w:r>
      </w:hyperlink>
      <w:r>
        <w:rPr>
          <w:lang w:val="pt_PT" w:bidi="pt_PT"/>
        </w:rPr>
        <w:t>). No entanto, a grande fama de Salomão (</w:t>
      </w:r>
      <w:hyperlink r:id="rId29">
        <w:r>
          <w:rPr>
            <w:lang w:val="pt_PT" w:bidi="pt_PT"/>
          </w:rPr>
          <w:rPr>
            <w:color w:val="0000EE"/>
            <w:u w:val="single"/>
          </w:rPr>
          <w:t>9.10–10.29</w:t>
        </w:r>
      </w:hyperlink>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hyperlink r:id="rId30">
        <w:r>
          <w:rPr>
            <w:lang w:val="pt_PT" w:bidi="pt_PT"/>
          </w:rPr>
          <w:rPr>
            <w:color w:val="0000EE"/>
            <w:u w:val="single"/>
          </w:rPr>
          <w:t>11.1–8</w:t>
        </w:r>
      </w:hyperlink>
      <w:r>
        <w:rPr>
          <w:lang w:val="pt_PT" w:bidi="pt_PT"/>
        </w:rPr>
        <w:t>). Deus visitou Salomão uma terceira e última vez; desta vez, ele repreendeu Salomão por sua falha em honrar o pacto. A infidelidade de Salomão acabaria por causar a divisão do reino após sua morte (</w:t>
      </w:r>
      <w:hyperlink r:id="rId31">
        <w:r>
          <w:rPr>
            <w:lang w:val="pt_PT" w:bidi="pt_PT"/>
          </w:rPr>
          <w:rPr>
            <w:color w:val="0000EE"/>
            <w:u w:val="single"/>
          </w:rPr>
          <w:t>11.9–13</w:t>
        </w:r>
      </w:hyperlink>
      <w:r>
        <w:rPr>
          <w:lang w:val="pt_PT" w:bidi="pt_PT"/>
        </w:rPr>
        <w:t>).</w:t>
      </w:r>
    </w:p>
    <w:p>
      <w:pPr/>
      <w:r>
        <w:rPr>
          <w:lang w:val="pt_PT" w:bidi="pt_PT"/>
        </w:rPr>
      </w:r>
      <w:r>
        <w:rPr>
          <w:lang w:val="pt_PT" w:bidi="pt_PT"/>
        </w:rPr>
        <w:t>A segunda seção do livro (</w:t>
      </w:r>
      <w:hyperlink r:id="rId32">
        <w:r>
          <w:rPr>
            <w:lang w:val="pt_PT" w:bidi="pt_PT"/>
          </w:rPr>
          <w:rPr>
            <w:color w:val="0000EE"/>
            <w:u w:val="single"/>
          </w:rPr>
          <w:t>12.1–16.26</w:t>
        </w:r>
      </w:hyperlink>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3">
        <w:r>
          <w:rPr>
            <w:lang w:val="pt_PT" w:bidi="pt_PT"/>
          </w:rPr>
          <w:rPr>
            <w:color w:val="0000EE"/>
            <w:u w:val="single"/>
          </w:rPr>
          <w:t>12.1–24</w:t>
        </w:r>
      </w:hyperlink>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4">
        <w:r>
          <w:rPr>
            <w:lang w:val="pt_PT" w:bidi="pt_PT"/>
          </w:rPr>
          <w:rPr>
            <w:color w:val="0000EE"/>
            <w:u w:val="single"/>
          </w:rPr>
          <w:t>16.25–26</w:t>
        </w:r>
      </w:hyperlink>
      <w:r>
        <w:rPr>
          <w:lang w:val="pt_PT" w:bidi="pt_PT"/>
        </w:rPr>
        <w:t>).</w:t>
      </w:r>
    </w:p>
    <w:p>
      <w:pPr/>
      <w:r>
        <w:rPr>
          <w:lang w:val="pt_PT" w:bidi="pt_PT"/>
        </w:rPr>
      </w:r>
      <w:r>
        <w:rPr>
          <w:lang w:val="pt_PT" w:bidi="pt_PT"/>
        </w:rPr>
        <w:t>A seção final de 1 Reis é dedicada principalmente ao reinado do filho de Onri, Acabe (</w:t>
      </w:r>
      <w:hyperlink r:id="rId35">
        <w:r>
          <w:rPr>
            <w:lang w:val="pt_PT" w:bidi="pt_PT"/>
          </w:rPr>
          <w:rPr>
            <w:color w:val="0000EE"/>
            <w:u w:val="single"/>
          </w:rPr>
          <w:t>16.29–22.40</w:t>
        </w:r>
      </w:hyperlink>
      <w:r>
        <w:rPr>
          <w:lang w:val="pt_PT" w:bidi="pt_PT"/>
        </w:rPr>
        <w:t>). Israel havia começado a adorar o deus da tempestade cananeu Baal, então o Senhor comissionou Elias para confrontar Acabe e demonstrar o poder do Senhor, mostrando que somente Ele é Deus (</w:t>
      </w:r>
      <w:hyperlink r:id="rId36">
        <w:r>
          <w:rPr>
            <w:lang w:val="pt_PT" w:bidi="pt_PT"/>
          </w:rPr>
          <w:rPr>
            <w:color w:val="0000EE"/>
            <w:u w:val="single"/>
          </w:rPr>
          <w:t>17.1–18.46</w:t>
        </w:r>
      </w:hyperlink>
      <w:r>
        <w:rPr>
          <w:lang w:val="pt_PT" w:bidi="pt_PT"/>
        </w:rPr>
        <w:t>). Elias então fugiu da ira da Rainha Jezabel, mas Deus o recuperou e o recomissionou, com Eliseu como seu sucessor (</w:t>
      </w:r>
      <w:hyperlink r:id="rId37">
        <w:r>
          <w:rPr>
            <w:lang w:val="pt_PT" w:bidi="pt_PT"/>
          </w:rPr>
          <w:rPr>
            <w:color w:val="0000EE"/>
            <w:u w:val="single"/>
          </w:rPr>
          <w:t>19.1–21</w:t>
        </w:r>
      </w:hyperlink>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hyperlink r:id="rId38">
        <w:r>
          <w:rPr>
            <w:lang w:val="pt_PT" w:bidi="pt_PT"/>
          </w:rPr>
          <w:rPr>
            <w:color w:val="0000EE"/>
            <w:u w:val="single"/>
          </w:rPr>
          <w:t>20.1–25</w:t>
        </w:r>
      </w:hyperlink>
      <w:r>
        <w:rPr>
          <w:lang w:val="pt_PT" w:bidi="pt_PT"/>
        </w:rPr>
        <w:t xml:space="preserve">, </w:t>
      </w:r>
      <w:hyperlink r:id="rId39">
        <w:r>
          <w:rPr>
            <w:lang w:val="pt_PT" w:bidi="pt_PT"/>
          </w:rPr>
          <w:rPr>
            <w:color w:val="0000EE"/>
            <w:u w:val="single"/>
          </w:rPr>
          <w:t>20.26–43</w:t>
        </w:r>
      </w:hyperlink>
      <w:r>
        <w:rPr>
          <w:lang w:val="pt_PT" w:bidi="pt_PT"/>
        </w:rPr>
        <w:t xml:space="preserve">; </w:t>
      </w:r>
      <w:hyperlink r:id="rId40">
        <w:r>
          <w:rPr>
            <w:lang w:val="pt_PT" w:bidi="pt_PT"/>
          </w:rPr>
          <w:rPr>
            <w:color w:val="0000EE"/>
            <w:u w:val="single"/>
          </w:rPr>
          <w:t>22.1–40</w:t>
        </w:r>
      </w:hyperlink>
      <w:r>
        <w:rPr>
          <w:lang w:val="pt_PT" w:bidi="pt_PT"/>
        </w:rPr>
        <w:t>), sendo que a última custou a vida de Acabe. Entre a segunda e a terceira campanhas, Acabe, auxiliado por sua implacável esposa Jezabel, assassinou um homem inocente chamado Nabote e confiscou sua propriedade (</w:t>
      </w:r>
      <w:hyperlink r:id="rId41">
        <w:r>
          <w:rPr>
            <w:lang w:val="pt_PT" w:bidi="pt_PT"/>
          </w:rPr>
          <w:rPr>
            <w:color w:val="0000EE"/>
            <w:u w:val="single"/>
          </w:rPr>
          <w:t>21.1–29</w:t>
        </w:r>
      </w:hyperlink>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hyperlink r:id="rId42">
        <w:r>
          <w:rPr>
            <w:lang w:val="pt_PT" w:bidi="pt_PT"/>
          </w:rPr>
          <w:rPr>
            <w:color w:val="0000EE"/>
            <w:u w:val="single"/>
          </w:rPr>
          <w:t>20.22</w:t>
        </w:r>
      </w:hyperlink>
      <w:r>
        <w:rPr>
          <w:lang w:val="pt_PT" w:bidi="pt_PT"/>
        </w:rPr>
        <w:t>) e depois o repreendeu (</w:t>
      </w:r>
      <w:hyperlink r:id="rId43">
        <w:r>
          <w:rPr>
            <w:lang w:val="pt_PT" w:bidi="pt_PT"/>
          </w:rPr>
          <w:rPr>
            <w:color w:val="0000EE"/>
            <w:u w:val="single"/>
          </w:rPr>
          <w:t>20.35–43</w:t>
        </w:r>
      </w:hyperlink>
      <w:r>
        <w:rPr>
          <w:lang w:val="pt_PT" w:bidi="pt_PT"/>
        </w:rPr>
        <w:t>). O profeta Elias posteriormente censurou Acabe pela apropriação da vinha de Nabote (</w:t>
      </w:r>
      <w:hyperlink r:id="rId41">
        <w:r>
          <w:rPr>
            <w:lang w:val="pt_PT" w:bidi="pt_PT"/>
          </w:rPr>
          <w:rPr>
            <w:color w:val="0000EE"/>
            <w:u w:val="single"/>
          </w:rPr>
          <w:t>21.1–29</w:t>
        </w:r>
      </w:hyperlink>
      <w:r>
        <w:rPr>
          <w:lang w:val="pt_PT" w:bidi="pt_PT"/>
        </w:rPr>
        <w:t>). Então, antes da terceira batalha de Acabe contra os arameus, o profeta Micaías alertou sobre a morte iminente de Acabe (</w:t>
      </w:r>
      <w:hyperlink r:id="rId44">
        <w:r>
          <w:rPr>
            <w:lang w:val="pt_PT" w:bidi="pt_PT"/>
          </w:rPr>
          <w:rPr>
            <w:color w:val="0000EE"/>
            <w:u w:val="single"/>
          </w:rPr>
          <w:t>22.5–28</w:t>
        </w:r>
      </w:hyperlink>
      <w:r>
        <w:rPr>
          <w:lang w:val="pt_PT" w:bidi="pt_PT"/>
        </w:rPr>
        <w:t>).</w:t>
      </w:r>
    </w:p>
    <w:p>
      <w:pPr/>
      <w:r>
        <w:rPr>
          <w:lang w:val="pt_PT" w:bidi="pt_PT"/>
        </w:rPr>
      </w:r>
      <w:r>
        <w:rPr>
          <w:lang w:val="pt_PT" w:bidi="pt_PT"/>
        </w:rPr>
        <w:t>O livro de 1 Reis termina com uma breve descrição sobre o caráter e o reinado do rei Josafá de Judá (</w:t>
      </w:r>
      <w:hyperlink r:id="rId45">
        <w:r>
          <w:rPr>
            <w:lang w:val="pt_PT" w:bidi="pt_PT"/>
          </w:rPr>
          <w:rPr>
            <w:color w:val="0000EE"/>
            <w:u w:val="single"/>
          </w:rPr>
          <w:t>22.41–50</w:t>
        </w:r>
      </w:hyperlink>
      <w:r>
        <w:rPr>
          <w:lang w:val="pt_PT" w:bidi="pt_PT"/>
        </w:rPr>
        <w:t>) e apresenta o sucessor de Acabe, Acazias (</w:t>
      </w:r>
      <w:hyperlink r:id="rId46">
        <w:r>
          <w:rPr>
            <w:lang w:val="pt_PT" w:bidi="pt_PT"/>
          </w:rPr>
          <w:rPr>
            <w:color w:val="0000EE"/>
            <w:u w:val="single"/>
          </w:rPr>
          <w:t>22.51–53</w:t>
        </w:r>
      </w:hyperlink>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hyperlink r:id="rId47">
        <w:r>
          <w:rPr>
            <w:lang w:val="pt_PT" w:bidi="pt_PT"/>
          </w:rPr>
          <w:rPr>
            <w:color w:val="0000EE"/>
            <w:u w:val="single"/>
          </w:rPr>
          <w:t>2Rs 25.27–30</w:t>
        </w:r>
      </w:hyperlink>
      <w:r>
        <w:rPr>
          <w:lang w:val="pt_PT" w:bidi="pt_PT"/>
        </w:rPr>
        <w:t xml:space="preserve">; cp. </w:t>
      </w:r>
      <w:hyperlink r:id="rId48">
        <w:r>
          <w:rPr>
            <w:lang w:val="pt_PT" w:bidi="pt_PT"/>
          </w:rPr>
          <w:rPr>
            <w:color w:val="0000EE"/>
            <w:u w:val="single"/>
          </w:rPr>
          <w:t>Jr 52.31–34</w:t>
        </w:r>
      </w:hyperlink>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hyperlink r:id="rId49">
        <w:r>
          <w:rPr>
            <w:lang w:val="pt_PT" w:bidi="pt_PT"/>
          </w:rPr>
          <w:rPr>
            <w:color w:val="0000EE"/>
            <w:u w:val="single"/>
          </w:rPr>
          <w:t>2Rs 24.18–25.21</w:t>
        </w:r>
      </w:hyperlink>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0">
        <w:r>
          <w:rPr>
            <w:lang w:val="pt_PT" w:bidi="pt_PT"/>
          </w:rPr>
          <w:rPr>
            <w:color w:val="0000EE"/>
            <w:u w:val="single"/>
          </w:rPr>
          <w:t>2Sm 5.4–5</w:t>
        </w:r>
      </w:hyperlink>
      <w:r>
        <w:rPr>
          <w:lang w:val="pt_PT" w:bidi="pt_PT"/>
        </w:rPr>
        <w:t>) até cerca de 853 a.C., durante os reinados de Josafá de Judá (872–848 a.C.) e Acazias de Israel (853–852 a.C.). Segundo de Reis começa onde 1 Reis terminou (originalmente, 1–2 Reis era um único livro). O apêndice final de 2 Reis (</w:t>
      </w:r>
      <w:hyperlink r:id="rId47">
        <w:r>
          <w:rPr>
            <w:lang w:val="pt_PT" w:bidi="pt_PT"/>
          </w:rPr>
          <w:rPr>
            <w:color w:val="0000EE"/>
            <w:u w:val="single"/>
          </w:rPr>
          <w:t>2Rs 25.27–30</w:t>
        </w:r>
      </w:hyperlink>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hyperlink r:id="rId51">
        <w:r>
          <w:rPr>
            <w:lang w:val="pt_PT" w:bidi="pt_PT"/>
          </w:rPr>
          <w:rPr>
            <w:color w:val="0000EE"/>
            <w:u w:val="single"/>
          </w:rPr>
          <w:t>2Sm 7.12–16</w:t>
        </w:r>
      </w:hyperlink>
      <w:r>
        <w:rPr>
          <w:lang w:val="pt_PT" w:bidi="pt_PT"/>
        </w:rPr>
        <w:t xml:space="preserve">; </w:t>
      </w:r>
      <w:hyperlink r:id="rId52">
        <w:r>
          <w:rPr>
            <w:lang w:val="pt_PT" w:bidi="pt_PT"/>
          </w:rPr>
          <w:rPr>
            <w:color w:val="0000EE"/>
            <w:u w:val="single"/>
          </w:rPr>
          <w:t>Sl 89.20–37</w:t>
        </w:r>
      </w:hyperlink>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hyperlink r:id="rId53">
        <w:r>
          <w:rPr>
            <w:lang w:val="pt_PT" w:bidi="pt_PT"/>
          </w:rPr>
          <w:rPr>
            <w:color w:val="0000EE"/>
            <w:u w:val="single"/>
          </w:rPr>
          <w:t>1Rs 17.1–19.21</w:t>
        </w:r>
      </w:hyperlink>
      <w:r>
        <w:rPr>
          <w:lang w:val="pt_PT" w:bidi="pt_PT"/>
        </w:rPr>
        <w:t xml:space="preserve">; </w:t>
      </w:r>
      <w:hyperlink r:id="rId41">
        <w:r>
          <w:rPr>
            <w:lang w:val="pt_PT" w:bidi="pt_PT"/>
          </w:rPr>
          <w:rPr>
            <w:color w:val="0000EE"/>
            <w:u w:val="single"/>
          </w:rPr>
          <w:t>21.1–29</w:t>
        </w:r>
      </w:hyperlink>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4">
        <w:r>
          <w:rPr>
            <w:lang w:val="pt_PT" w:bidi="pt_PT"/>
          </w:rPr>
          <w:rPr>
            <w:color w:val="0000EE"/>
            <w:u w:val="single"/>
          </w:rPr>
          <w:t>1Jo 5.21</w:t>
        </w:r>
      </w:hyperlink>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