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3">
        <w:r>
          <w:rPr>
            <w:lang w:val="sw_KE" w:bidi="sw_KE"/>
          </w:rPr>
          <w:rPr>
            <w:color w:val="0000EE"/>
            <w:u w:val="single"/>
          </w:rPr>
          <w:t>2 Fal 15:32–38</w:t>
        </w:r>
      </w:hyperlink>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hyperlink r:id="rId14">
        <w:r>
          <w:rPr>
            <w:lang w:val="sw_KE" w:bidi="sw_KE"/>
          </w:rPr>
          <w:rPr>
            <w:color w:val="0000EE"/>
            <w:u w:val="single"/>
          </w:rPr>
          <w:t>2 Fal 16:1–4</w:t>
        </w:r>
      </w:hyperlink>
      <w:r>
        <w:rPr>
          <w:lang w:val="sw_KE" w:bidi="sw_KE"/>
        </w:rPr>
        <w:t>). Wakati Waedomi na Wafilisti walipohamia maeneo ya kusini mwa Palestina yaliyotekwa na Resini na Peka (</w:t>
      </w:r>
      <w:hyperlink r:id="rId15">
        <w:r>
          <w:rPr>
            <w:lang w:val="sw_KE" w:bidi="sw_KE"/>
          </w:rPr>
          <w:rPr>
            <w:color w:val="0000EE"/>
            <w:u w:val="single"/>
          </w:rPr>
          <w:t>2 Fal 16:5–6;</w:t>
        </w:r>
      </w:hyperlink>
      <w:hyperlink r:id="rId16">
        <w:r>
          <w:rPr>
            <w:lang w:val="sw_KE" w:bidi="sw_KE"/>
          </w:rPr>
          <w:rPr>
            <w:color w:val="0000EE"/>
            <w:u w:val="single"/>
          </w:rPr>
          <w:t>2 Mambo ya Nyakati 28:18</w:t>
        </w:r>
      </w:hyperlink>
      <w:r>
        <w:rPr>
          <w:lang w:val="sw_KE" w:bidi="sw_KE"/>
        </w:rPr>
        <w:t>), Ahazi alifanya muungano na mfalme wa Ashuru Tiglath-pileseri III (744–727 KK) kwa kulipa dhahabu kutoka hekalu na hazina za kifalme kama kodi kwa Waashuru (</w:t>
      </w:r>
      <w:hyperlink r:id="rId17">
        <w:r>
          <w:rPr>
            <w:lang w:val="sw_KE" w:bidi="sw_KE"/>
          </w:rPr>
          <w:rPr>
            <w:color w:val="0000EE"/>
            <w:u w:val="single"/>
          </w:rPr>
          <w:t>2 Fal 16:7–9</w:t>
        </w:r>
      </w:hyperlink>
      <w:r>
        <w:rPr>
          <w:lang w:val="sw_KE" w:bidi="sw_KE"/>
        </w:rPr>
        <w:t>). Ahazi aliharibu ibada ya Yuda kwa kuleta madhabahu za kipagani Yerusalemu (</w:t>
      </w:r>
      <w:hyperlink r:id="rId18">
        <w:r>
          <w:rPr>
            <w:lang w:val="sw_KE" w:bidi="sw_KE"/>
          </w:rPr>
          <w:rPr>
            <w:color w:val="0000EE"/>
            <w:u w:val="single"/>
          </w:rPr>
          <w:t>2 Fal 16:10–13</w:t>
        </w:r>
      </w:hyperlink>
      <w:r>
        <w:rPr>
          <w:lang w:val="sw_KE" w:bidi="sw_KE"/>
        </w:rPr>
        <w:t>), na alizuia ibada ya Bwana (</w:t>
      </w:r>
      <w:hyperlink r:id="rId19">
        <w:r>
          <w:rPr>
            <w:lang w:val="sw_KE" w:bidi="sw_KE"/>
          </w:rPr>
          <w:rPr>
            <w:color w:val="0000EE"/>
            <w:u w:val="single"/>
          </w:rPr>
          <w:t>2 Fal 16:14–20</w:t>
        </w:r>
      </w:hyperlink>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0">
        <w:r>
          <w:rPr>
            <w:lang w:val="sw_KE" w:bidi="sw_KE"/>
          </w:rPr>
          <w:rPr>
            <w:color w:val="0000EE"/>
            <w:u w:val="single"/>
          </w:rPr>
          <w:t>2 Fal 18:1–19:37</w:t>
        </w:r>
      </w:hyperlink>
      <w:r>
        <w:rPr>
          <w:lang w:val="sw_KE" w:bidi="sw_KE"/>
        </w:rPr>
        <w:t>). Mungu pia alimponya Hezekia kutoka kwa ugonjwa mbaya. Hata hivyo, Hezekia kwa busara mbaya alipokea wajumbe kutoka kwa mfalme wa Babeli Merodaki Baladani, ambaye alitafuta muungano na Hezekia dhidi ya Ashuru (</w:t>
      </w:r>
      <w:hyperlink r:id="rId21">
        <w:r>
          <w:rPr>
            <w:lang w:val="sw_KE" w:bidi="sw_KE"/>
          </w:rPr>
          <w:rPr>
            <w:color w:val="0000EE"/>
            <w:u w:val="single"/>
          </w:rPr>
          <w:t>2 Fal 20:12–21</w:t>
        </w:r>
      </w:hyperlink>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2">
        <w:r>
          <w:rPr>
            <w:lang w:val="sw_KE" w:bidi="sw_KE"/>
          </w:rPr>
          <w:rPr>
            <w:color w:val="0000EE"/>
            <w:u w:val="single"/>
          </w:rPr>
          <w:t>2 Fal 15:28</w:t>
        </w:r>
      </w:hyperlink>
      <w:r>
        <w:rPr>
          <w:lang w:val="sw_KE" w:bidi="sw_KE"/>
        </w:rPr>
        <w:t>). Wakati wa utawala wa Peka, sehemu za kaskazini mwa Israeli zilichukuliwa mateka (</w:t>
      </w:r>
      <w:hyperlink r:id="rId23">
        <w:r>
          <w:rPr>
            <w:lang w:val="sw_KE" w:bidi="sw_KE"/>
          </w:rPr>
          <w:rPr>
            <w:color w:val="0000EE"/>
            <w:u w:val="single"/>
          </w:rPr>
          <w:t>2 Fal 15:29</w:t>
        </w:r>
      </w:hyperlink>
      <w:r>
        <w:rPr>
          <w:lang w:val="sw_KE" w:bidi="sw_KE"/>
        </w:rPr>
        <w:t>). Peka aliuawa na Hoshea, ambaye alitawala hadi kuanguka kwa Samaria mwaka 722 KK (</w:t>
      </w:r>
      <w:hyperlink r:id="rId24">
        <w:r>
          <w:rPr>
            <w:lang w:val="sw_KE" w:bidi="sw_KE"/>
          </w:rPr>
          <w:rPr>
            <w:color w:val="0000EE"/>
            <w:u w:val="single"/>
          </w:rPr>
          <w:t>2 Fal 15:30–31</w:t>
        </w:r>
      </w:hyperlink>
      <w:r>
        <w:rPr>
          <w:lang w:val="sw_KE" w:bidi="sw_KE"/>
        </w:rPr>
        <w:t xml:space="preserve">; </w:t>
      </w:r>
      <w:hyperlink r:id="rId25">
        <w:r>
          <w:rPr>
            <w:lang w:val="sw_KE" w:bidi="sw_KE"/>
          </w:rPr>
          <w:rPr>
            <w:color w:val="0000EE"/>
            <w:u w:val="single"/>
          </w:rPr>
          <w:t>17:6</w:t>
        </w:r>
      </w:hyperlink>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6">
        <w:r>
          <w:rPr>
            <w:lang w:val="sw_KE" w:bidi="sw_KE"/>
          </w:rPr>
          <w:rPr>
            <w:color w:val="0000EE"/>
            <w:u w:val="single"/>
          </w:rPr>
          <w:t>2 Fal 17:5–6</w:t>
        </w:r>
      </w:hyperlink>
      <w:r>
        <w:rPr>
          <w:lang w:val="sw_KE" w:bidi="sw_KE"/>
        </w:rPr>
        <w:t>), na watu kutoka mataifa mbalimbali waliletwa katika nchi iliyoharibiwa ya Israeli kuishi (</w:t>
      </w:r>
      <w:hyperlink r:id="rId27">
        <w:r>
          <w:rPr>
            <w:lang w:val="sw_KE" w:bidi="sw_KE"/>
          </w:rPr>
          <w:rPr>
            <w:color w:val="0000EE"/>
            <w:u w:val="single"/>
          </w:rPr>
          <w:t>2 Fal 17:24–41</w:t>
        </w:r>
      </w:hyperlink>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hyperlink r:id="rId28">
        <w:r>
          <w:rPr>
            <w:lang w:val="sw_KE" w:bidi="sw_KE"/>
          </w:rPr>
          <w:rPr>
            <w:color w:val="0000EE"/>
            <w:u w:val="single"/>
          </w:rPr>
          <w:t>1:1</w:t>
        </w:r>
      </w:hyperlink>
      <w:r>
        <w:rPr>
          <w:lang w:val="sw_KE" w:bidi="sw_KE"/>
        </w:rPr>
        <w:t>), kila moja ya sehemu tatu huanza kwa kuitaka Israeli "kusikiliza" (</w:t>
      </w:r>
      <w:hyperlink r:id="rId29">
        <w:r>
          <w:rPr>
            <w:lang w:val="sw_KE" w:bidi="sw_KE"/>
          </w:rPr>
          <w:rPr>
            <w:color w:val="0000EE"/>
            <w:u w:val="single"/>
          </w:rPr>
          <w:t>1:2–2:13</w:t>
        </w:r>
      </w:hyperlink>
      <w:r>
        <w:rPr>
          <w:lang w:val="sw_KE" w:bidi="sw_KE"/>
        </w:rPr>
        <w:t xml:space="preserve">; </w:t>
      </w:r>
      <w:hyperlink r:id="rId30">
        <w:r>
          <w:rPr>
            <w:lang w:val="sw_KE" w:bidi="sw_KE"/>
          </w:rPr>
          <w:rPr>
            <w:color w:val="0000EE"/>
            <w:u w:val="single"/>
          </w:rPr>
          <w:t>3:1–5:15</w:t>
        </w:r>
      </w:hyperlink>
      <w:r>
        <w:rPr>
          <w:lang w:val="sw_KE" w:bidi="sw_KE"/>
        </w:rPr>
        <w:t xml:space="preserve">; </w:t>
      </w:r>
      <w:hyperlink r:id="rId31">
        <w:r>
          <w:rPr>
            <w:lang w:val="sw_KE" w:bidi="sw_KE"/>
          </w:rPr>
          <w:rPr>
            <w:color w:val="0000EE"/>
            <w:u w:val="single"/>
          </w:rPr>
          <w:t>6:1–7:6</w:t>
        </w:r>
      </w:hyperlink>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hyperlink r:id="rId32">
        <w:r>
          <w:rPr>
            <w:lang w:val="sw_KE" w:bidi="sw_KE"/>
          </w:rPr>
          <w:rPr>
            <w:color w:val="0000EE"/>
            <w:u w:val="single"/>
          </w:rPr>
          <w:t>2:12–13</w:t>
        </w:r>
      </w:hyperlink>
      <w:r>
        <w:rPr>
          <w:lang w:val="sw_KE" w:bidi="sw_KE"/>
        </w:rPr>
        <w:t xml:space="preserve">; </w:t>
      </w:r>
      <w:hyperlink r:id="rId33">
        <w:r>
          <w:rPr>
            <w:lang w:val="sw_KE" w:bidi="sw_KE"/>
          </w:rPr>
          <w:rPr>
            <w:color w:val="0000EE"/>
            <w:u w:val="single"/>
          </w:rPr>
          <w:t>4:1–8</w:t>
        </w:r>
      </w:hyperlink>
      <w:r>
        <w:rPr>
          <w:lang w:val="sw_KE" w:bidi="sw_KE"/>
        </w:rPr>
        <w:t xml:space="preserve">,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5:2–15</w:t>
        </w:r>
      </w:hyperlink>
      <w:r>
        <w:rPr>
          <w:lang w:val="sw_KE" w:bidi="sw_KE"/>
        </w:rPr>
        <w:t xml:space="preserve">; </w:t>
      </w:r>
      <w:hyperlink r:id="rId36">
        <w:r>
          <w:rPr>
            <w:lang w:val="sw_KE" w:bidi="sw_KE"/>
          </w:rPr>
          <w:rPr>
            <w:color w:val="0000EE"/>
            <w:u w:val="single"/>
          </w:rPr>
          <w:t>7:7–20</w:t>
        </w:r>
      </w:hyperlink>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hyperlink r:id="rId37">
        <w:r>
          <w:rPr>
            <w:lang w:val="sw_KE" w:bidi="sw_KE"/>
          </w:rPr>
          <w:rPr>
            <w:color w:val="0000EE"/>
            <w:u w:val="single"/>
          </w:rPr>
          <w:t>4:6–8</w:t>
        </w:r>
      </w:hyperlink>
      <w:r>
        <w:rPr>
          <w:lang w:val="sw_KE" w:bidi="sw_KE"/>
        </w:rPr>
        <w:t xml:space="preserve"> na </w:t>
      </w:r>
      <w:hyperlink r:id="rId38">
        <w:r>
          <w:rPr>
            <w:lang w:val="sw_KE" w:bidi="sw_KE"/>
          </w:rPr>
          <w:rPr>
            <w:color w:val="0000EE"/>
            <w:u w:val="single"/>
          </w:rPr>
          <w:t>7:8–20</w:t>
        </w:r>
      </w:hyperlink>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39">
        <w:r>
          <w:rPr>
            <w:lang w:val="sw_KE" w:bidi="sw_KE"/>
          </w:rPr>
          <w:rPr>
            <w:color w:val="0000EE"/>
            <w:u w:val="single"/>
          </w:rPr>
          <w:t>Isa 52:4–12</w:t>
        </w:r>
      </w:hyperlink>
      <w:r>
        <w:rPr>
          <w:lang w:val="sw_KE" w:bidi="sw_KE"/>
        </w:rPr>
        <w:t xml:space="preserve">; </w:t>
      </w:r>
      <w:hyperlink r:id="rId40">
        <w:r>
          <w:rPr>
            <w:lang w:val="sw_KE" w:bidi="sw_KE"/>
          </w:rPr>
          <w:rPr>
            <w:color w:val="0000EE"/>
            <w:u w:val="single"/>
          </w:rPr>
          <w:t>Hos 11:10–11</w:t>
        </w:r>
      </w:hyperlink>
      <w:r>
        <w:rPr>
          <w:lang w:val="sw_KE" w:bidi="sw_KE"/>
        </w:rPr>
        <w:t xml:space="preserve">; </w:t>
      </w:r>
      <w:hyperlink r:id="rId41">
        <w:r>
          <w:rPr>
            <w:lang w:val="sw_KE" w:bidi="sw_KE"/>
          </w:rPr>
          <w:rPr>
            <w:color w:val="0000EE"/>
            <w:u w:val="single"/>
          </w:rPr>
          <w:t>Amosi 9:11–15</w:t>
        </w:r>
      </w:hyperlink>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28">
        <w:r>
          <w:rPr>
            <w:lang w:val="sw_KE" w:bidi="sw_KE"/>
          </w:rPr>
          <w:rPr>
            <w:color w:val="0000EE"/>
            <w:u w:val="single"/>
          </w:rPr>
          <w:t>Mik 1:1</w:t>
        </w:r>
      </w:hyperlink>
      <w:r>
        <w:rPr>
          <w:lang w:val="sw_KE" w:bidi="sw_KE"/>
        </w:rPr>
        <w:t xml:space="preserve">, </w:t>
      </w:r>
      <w:hyperlink r:id="rId42">
        <w:r>
          <w:rPr>
            <w:lang w:val="sw_KE" w:bidi="sw_KE"/>
          </w:rPr>
          <w:rPr>
            <w:color w:val="0000EE"/>
            <w:u w:val="single"/>
          </w:rPr>
          <w:t>6</w:t>
        </w:r>
      </w:hyperlink>
      <w:r>
        <w:rPr>
          <w:lang w:val="sw_KE" w:bidi="sw_KE"/>
        </w:rPr>
        <w:t xml:space="preserve">; </w:t>
      </w:r>
      <w:hyperlink r:id="rId43">
        <w:r>
          <w:rPr>
            <w:lang w:val="sw_KE" w:bidi="sw_KE"/>
          </w:rPr>
          <w:rPr>
            <w:color w:val="0000EE"/>
            <w:u w:val="single"/>
          </w:rPr>
          <w:t>6:16</w:t>
        </w:r>
      </w:hyperlink>
      <w:r>
        <w:rPr>
          <w:lang w:val="sw_KE" w:bidi="sw_KE"/>
        </w:rPr>
        <w:t xml:space="preserve">). Harakati za Waashuru kuingia Israeli na Yuda mwaka 701 KK zinaonyeshwa katika </w:t>
      </w:r>
      <w:hyperlink r:id="rId44">
        <w:r>
          <w:rPr>
            <w:lang w:val="sw_KE" w:bidi="sw_KE"/>
          </w:rPr>
          <w:rPr>
            <w:color w:val="0000EE"/>
            <w:u w:val="single"/>
          </w:rPr>
          <w:t>1:10–15</w:t>
        </w:r>
      </w:hyperlink>
      <w:r>
        <w:rPr>
          <w:lang w:val="sw_KE" w:bidi="sw_KE"/>
        </w:rPr>
        <w:t>. Utabiri wa Mika kuhusu kuanguka kwa Yerusalemu (</w:t>
      </w:r>
      <w:hyperlink r:id="rId45">
        <w:r>
          <w:rPr>
            <w:lang w:val="sw_KE" w:bidi="sw_KE"/>
          </w:rPr>
          <w:rPr>
            <w:color w:val="0000EE"/>
            <w:u w:val="single"/>
          </w:rPr>
          <w:t>3:12</w:t>
        </w:r>
      </w:hyperlink>
      <w:r>
        <w:rPr>
          <w:lang w:val="sw_KE" w:bidi="sw_KE"/>
        </w:rPr>
        <w:t>) ulitolewa wakati wa utawala wa Hezekia (728–686 KK) na unarejelewa baadaye na Yeremia (</w:t>
      </w:r>
      <w:hyperlink r:id="rId46">
        <w:r>
          <w:rPr>
            <w:lang w:val="sw_KE" w:bidi="sw_KE"/>
          </w:rPr>
          <w:rPr>
            <w:color w:val="0000EE"/>
            <w:u w:val="single"/>
          </w:rPr>
          <w:t>Jer 26:16–19</w:t>
        </w:r>
      </w:hyperlink>
      <w:r>
        <w:rPr>
          <w:lang w:val="sw_KE" w:bidi="sw_KE"/>
        </w:rPr>
        <w:t xml:space="preserve">). Huduma ya Mika inaonekana kuambatana kwa karibu na ile ya Isaya; kufanana kwa </w:t>
      </w:r>
      <w:hyperlink r:id="rId47">
        <w:r>
          <w:rPr>
            <w:lang w:val="sw_KE" w:bidi="sw_KE"/>
          </w:rPr>
          <w:rPr>
            <w:color w:val="0000EE"/>
            <w:u w:val="single"/>
          </w:rPr>
          <w:t>Isaya 2:2–5</w:t>
        </w:r>
      </w:hyperlink>
      <w:r>
        <w:rPr>
          <w:lang w:val="sw_KE" w:bidi="sw_KE"/>
        </w:rPr>
        <w:t xml:space="preserve"> na </w:t>
      </w:r>
      <w:hyperlink r:id="rId48">
        <w:r>
          <w:rPr>
            <w:lang w:val="sw_KE" w:bidi="sw_KE"/>
          </w:rPr>
          <w:rPr>
            <w:color w:val="0000EE"/>
            <w:u w:val="single"/>
          </w:rPr>
          <w:t>Micah 4:1–4</w:t>
        </w:r>
      </w:hyperlink>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hyperlink r:id="rId49">
        <w:r>
          <w:rPr>
            <w:lang w:val="sw_KE" w:bidi="sw_KE"/>
          </w:rPr>
          <w:rPr>
            <w:color w:val="0000EE"/>
            <w:u w:val="single"/>
          </w:rPr>
          <w:t>5:2</w:t>
        </w:r>
      </w:hyperlink>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hyperlink r:id="rId50">
        <w:r>
          <w:rPr>
            <w:lang w:val="sw_KE" w:bidi="sw_KE"/>
          </w:rPr>
          <w:rPr>
            <w:color w:val="0000EE"/>
            <w:u w:val="single"/>
          </w:rPr>
          <w:t>2 Pet 3:13</w:t>
        </w:r>
      </w:hyperlink>
      <w:r>
        <w:rPr>
          <w:lang w:val="sw_KE" w:bidi="sw_KE"/>
        </w:rPr>
        <w:t xml:space="preserve">). Miaka mingi baada ya Mika, Mungu alimtuma "mtawala wa Israeli," aliyezaliwa Bethlehemu, kuongoza kundi lake na kuleta amani kwa watu wake (tazama </w:t>
      </w:r>
      <w:hyperlink r:id="rId51">
        <w:r>
          <w:rPr>
            <w:lang w:val="sw_KE" w:bidi="sw_KE"/>
          </w:rPr>
          <w:rPr>
            <w:color w:val="0000EE"/>
            <w:u w:val="single"/>
          </w:rPr>
          <w:t>Mik 5:2–5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