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سِفْرُ العَدَدِ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يَسْرِدُ سِفْرُ العَدَدِ قصةَ بني إسرائيل في البريَّةِ أثناء ارتحالهم </w:t>
      </w:r>
      <w:r>
        <w:rPr>
          <w:lang w:val="ar_AE" w:bidi="ar_AE"/>
        </w:rPr>
        <w:t xml:space="preserve">من سيناء </w:t>
      </w:r>
      <w:r>
        <w:rPr>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lang w:val="ar_AE" w:bidi="ar_AE"/>
        </w:rPr>
        <w:t>سِياقُ السِّفْر</w:t>
      </w:r>
    </w:p>
    <w:p>
      <w:pPr>
        <w:bidi/>
      </w:pPr>
      <w:r>
        <w:rPr>
          <w:lang w:val="ar_AE" w:bidi="ar_AE"/>
        </w:rPr>
      </w:r>
      <w:r>
        <w:rPr>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lang w:val="ar_AE" w:bidi="ar_AE"/>
        </w:rPr>
        <w:t>.</w:t>
      </w:r>
    </w:p>
    <w:p>
      <w:pPr>
        <w:bidi/>
      </w:pPr>
      <w:r>
        <w:rPr>
          <w:lang w:val="ar_AE" w:bidi="ar_AE"/>
        </w:rPr>
      </w:r>
      <w:r>
        <w:rPr>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lang w:val="ar_AE" w:bidi="ar_AE"/>
        </w:rPr>
        <w:t>.</w:t>
      </w:r>
    </w:p>
    <w:p>
      <w:pPr>
        <w:pStyle w:val="Heading2"/>
        <w:bidi/>
      </w:pPr>
      <w:r>
        <w:rPr>
          <w:b/>
          <w:lang w:val="ar_AE" w:bidi="ar_AE"/>
        </w:rPr>
        <w:t>مُوجَزُ السِّفْر</w:t>
      </w:r>
    </w:p>
    <w:p>
      <w:pPr>
        <w:bidi/>
      </w:pPr>
      <w:r>
        <w:rPr>
          <w:lang w:val="ar_AE" w:bidi="ar_AE"/>
        </w:rPr>
      </w:r>
      <w:r>
        <w:rPr>
          <w:lang w:val="ar_AE" w:bidi="ar_AE"/>
        </w:rPr>
        <w:t xml:space="preserve">يستمد سِفْرُ العَدَدِ تركيبه من المراحل الثلاث لارتحال بني إِسْرَائِيل عبر البرية: (1) الأيام التسعة عشر التي تهيَّأَ فيها بنو </w:t>
      </w:r>
      <w:r>
        <w:rPr>
          <w:lang w:val="ar_AE" w:bidi="ar_AE"/>
        </w:rPr>
        <w:t xml:space="preserve">إِسْرَائِيل </w:t>
      </w:r>
      <w:r>
        <w:rPr>
          <w:lang w:val="ar_AE" w:bidi="ar_AE"/>
        </w:rPr>
        <w:t xml:space="preserve">للرَّحِيل من جبل سيناء </w:t>
      </w:r>
      <w:r>
        <w:rPr>
          <w:lang w:val="ar_AE" w:bidi="ar_AE"/>
        </w:rPr>
        <w:t>(</w:t>
      </w:r>
      <w:hyperlink r:id="rId15">
        <w:r>
          <w:rPr>
            <w:lang w:val="ar_AE" w:bidi="ar_AE"/>
          </w:rPr>
          <w:rPr>
            <w:color w:val="0000EE"/>
            <w:u w:val="single"/>
          </w:rPr>
          <w:t>1:1–10:10</w:t>
        </w:r>
      </w:hyperlink>
      <w:r>
        <w:rPr>
          <w:lang w:val="ar_AE" w:bidi="ar_AE"/>
        </w:rPr>
        <w:t xml:space="preserve">)، </w:t>
      </w:r>
      <w:r>
        <w:rPr>
          <w:lang w:val="ar_AE" w:bidi="ar_AE"/>
        </w:rPr>
        <w:t xml:space="preserve">(2) الرحلة التي استغرقت تسع وثلاثين سَنَةً من سيناء إلى سهول موآبِ </w:t>
      </w:r>
      <w:r>
        <w:rPr>
          <w:lang w:val="ar_AE" w:bidi="ar_AE"/>
        </w:rPr>
        <w:t>(</w:t>
      </w:r>
      <w:hyperlink r:id="rId16">
        <w:r>
          <w:rPr>
            <w:lang w:val="ar_AE" w:bidi="ar_AE"/>
          </w:rPr>
          <w:rPr>
            <w:color w:val="0000EE"/>
            <w:u w:val="single"/>
          </w:rPr>
          <w:t>10:11–22:1</w:t>
        </w:r>
      </w:hyperlink>
      <w:r>
        <w:rPr>
          <w:lang w:val="ar_AE" w:bidi="ar_AE"/>
        </w:rPr>
        <w:t xml:space="preserve">)، </w:t>
      </w:r>
      <w:r>
        <w:rPr>
          <w:lang w:val="ar_AE" w:bidi="ar_AE"/>
        </w:rPr>
        <w:t>و(3) الأشهُر الأخيرة من وصول إِسْرَائِيل لسهولِ موآبِ، وقبل دخولِهِ أرض كنعان</w:t>
      </w:r>
      <w:r>
        <w:rPr>
          <w:lang w:val="ar_AE" w:bidi="ar_AE"/>
        </w:rPr>
        <w:t xml:space="preserve"> بوقت قصير (</w:t>
      </w:r>
      <w:hyperlink r:id="rId17">
        <w:r>
          <w:rPr>
            <w:lang w:val="ar_AE" w:bidi="ar_AE"/>
          </w:rPr>
          <w:rPr>
            <w:color w:val="0000EE"/>
            <w:u w:val="single"/>
          </w:rPr>
          <w:t>21:1–36:13</w:t>
        </w:r>
      </w:hyperlink>
      <w:r>
        <w:rPr>
          <w:lang w:val="ar_AE" w:bidi="ar_AE"/>
        </w:rPr>
        <w:t>).</w:t>
      </w:r>
    </w:p>
    <w:p>
      <w:pPr>
        <w:bidi/>
      </w:pPr>
      <w:r>
        <w:rPr>
          <w:lang w:val="ar_AE" w:bidi="ar_AE"/>
        </w:rPr>
      </w:r>
      <w:r>
        <w:rPr>
          <w:lang w:val="ar_AE" w:bidi="ar_AE"/>
        </w:rPr>
        <w:t xml:space="preserve">وما يميِّز سِفْرَ العَدَدِ هو وجود إحصائَيْن لرجال بني إِسْرَائِيل المؤهلين للخدمة العسكرية </w:t>
      </w:r>
      <w:r>
        <w:rPr>
          <w:lang w:val="ar_AE" w:bidi="ar_AE"/>
        </w:rPr>
        <w:t xml:space="preserve">(الفصول </w:t>
      </w:r>
      <w:hyperlink r:id="rId18">
        <w:r>
          <w:rPr>
            <w:lang w:val="ar_AE" w:bidi="ar_AE"/>
          </w:rPr>
          <w:rPr>
            <w:color w:val="0000EE"/>
            <w:u w:val="single"/>
          </w:rPr>
          <w:t>1–4</w:t>
        </w:r>
      </w:hyperlink>
      <w:r>
        <w:rPr>
          <w:lang w:val="ar_AE" w:bidi="ar_AE"/>
        </w:rPr>
        <w:t xml:space="preserve">، </w:t>
      </w:r>
      <w:hyperlink r:id="rId19">
        <w:r>
          <w:rPr>
            <w:lang w:val="ar_AE" w:bidi="ar_AE"/>
          </w:rPr>
          <w:rPr>
            <w:color w:val="0000EE"/>
            <w:u w:val="single"/>
          </w:rPr>
          <w:t>26</w:t>
        </w:r>
      </w:hyperlink>
      <w:r>
        <w:rPr>
          <w:lang w:val="ar_AE" w:bidi="ar_AE"/>
        </w:rPr>
        <w:t xml:space="preserve">). </w:t>
      </w:r>
      <w:r>
        <w:rPr>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lang w:val="ar_AE" w:bidi="ar_AE"/>
        </w:rPr>
        <w:t xml:space="preserve">أعداد </w:t>
      </w:r>
      <w:r>
        <w:rPr>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lang w:val="ar_AE" w:bidi="ar_AE"/>
        </w:rPr>
        <w:t>.</w:t>
      </w:r>
    </w:p>
    <w:p>
      <w:pPr>
        <w:bidi/>
      </w:pPr>
      <w:r>
        <w:rPr>
          <w:lang w:val="ar_AE" w:bidi="ar_AE"/>
        </w:rPr>
      </w:r>
      <w:r>
        <w:rPr>
          <w:lang w:val="ar_AE" w:bidi="ar_AE"/>
        </w:rPr>
        <w:t>عبر الطريق، نجد أن العِبْرانيِّين الذين غادروا مصر يتمرَّدون مرارًا وتكرارًا</w:t>
      </w:r>
      <w:r>
        <w:rPr>
          <w:lang w:val="ar_AE" w:bidi="ar_AE"/>
        </w:rPr>
        <w:t xml:space="preserve"> على الرَّبِّ (الفصول </w:t>
      </w:r>
      <w:hyperlink r:id="rId20">
        <w:r>
          <w:rPr>
            <w:lang w:val="ar_AE" w:bidi="ar_AE"/>
          </w:rPr>
          <w:rPr>
            <w:color w:val="0000EE"/>
            <w:u w:val="single"/>
          </w:rPr>
          <w:t>11</w:t>
        </w:r>
      </w:hyperlink>
      <w:r>
        <w:rPr>
          <w:lang w:val="ar_AE" w:bidi="ar_AE"/>
        </w:rPr>
        <w:t xml:space="preserve">، </w:t>
      </w:r>
      <w:hyperlink r:id="rId21">
        <w:r>
          <w:rPr>
            <w:lang w:val="ar_AE" w:bidi="ar_AE"/>
          </w:rPr>
          <w:rPr>
            <w:color w:val="0000EE"/>
            <w:u w:val="single"/>
          </w:rPr>
          <w:t>12</w:t>
        </w:r>
      </w:hyperlink>
      <w:r>
        <w:rPr>
          <w:lang w:val="ar_AE" w:bidi="ar_AE"/>
        </w:rPr>
        <w:t xml:space="preserve">، </w:t>
      </w:r>
      <w:hyperlink r:id="rId22">
        <w:r>
          <w:rPr>
            <w:lang w:val="ar_AE" w:bidi="ar_AE"/>
          </w:rPr>
          <w:rPr>
            <w:color w:val="0000EE"/>
            <w:u w:val="single"/>
          </w:rPr>
          <w:t>14</w:t>
        </w:r>
      </w:hyperlink>
      <w:r>
        <w:rPr>
          <w:lang w:val="ar_AE" w:bidi="ar_AE"/>
        </w:rPr>
        <w:t xml:space="preserve">، </w:t>
      </w:r>
      <w:hyperlink r:id="rId23">
        <w:r>
          <w:rPr>
            <w:lang w:val="ar_AE" w:bidi="ar_AE"/>
          </w:rPr>
          <w:rPr>
            <w:color w:val="0000EE"/>
            <w:u w:val="single"/>
          </w:rPr>
          <w:t>16–17</w:t>
        </w:r>
      </w:hyperlink>
      <w:r>
        <w:rPr>
          <w:lang w:val="ar_AE" w:bidi="ar_AE"/>
        </w:rPr>
        <w:t xml:space="preserve">، </w:t>
      </w:r>
      <w:hyperlink r:id="rId24">
        <w:r>
          <w:rPr>
            <w:lang w:val="ar_AE" w:bidi="ar_AE"/>
          </w:rPr>
          <w:rPr>
            <w:color w:val="0000EE"/>
            <w:u w:val="single"/>
          </w:rPr>
          <w:t>20</w:t>
        </w:r>
      </w:hyperlink>
      <w:r>
        <w:rPr>
          <w:lang w:val="ar_AE" w:bidi="ar_AE"/>
        </w:rPr>
        <w:t xml:space="preserve">، </w:t>
      </w:r>
      <w:hyperlink r:id="rId25">
        <w:r>
          <w:rPr>
            <w:lang w:val="ar_AE" w:bidi="ar_AE"/>
          </w:rPr>
          <w:rPr>
            <w:color w:val="0000EE"/>
            <w:u w:val="single"/>
          </w:rPr>
          <w:t>25</w:t>
        </w:r>
      </w:hyperlink>
      <w:r>
        <w:rPr>
          <w:lang w:val="ar_AE" w:bidi="ar_AE"/>
        </w:rPr>
        <w:t xml:space="preserve">). </w:t>
      </w:r>
      <w:r>
        <w:rPr>
          <w:lang w:val="ar_AE" w:bidi="ar_AE"/>
        </w:rPr>
        <w:t>إلا أنهم مَاتُوا جميعًا في البَرِّيَّةِ ما عَدَا يَشُوع بْن نُون وكَالِب بْن يَفُنَّة، فقد كان إيمانُهما نموذجًا يُحْتَذَى به</w:t>
      </w:r>
      <w:r>
        <w:rPr>
          <w:lang w:val="ar_AE" w:bidi="ar_AE"/>
        </w:rPr>
        <w:t xml:space="preserve"> (</w:t>
      </w:r>
      <w:hyperlink r:id="rId26">
        <w:r>
          <w:rPr>
            <w:lang w:val="ar_AE" w:bidi="ar_AE"/>
          </w:rPr>
          <w:rPr>
            <w:color w:val="0000EE"/>
            <w:u w:val="single"/>
          </w:rPr>
          <w:t>13:30</w:t>
        </w:r>
      </w:hyperlink>
      <w:r>
        <w:rPr>
          <w:lang w:val="ar_AE" w:bidi="ar_AE"/>
        </w:rPr>
        <w:t xml:space="preserve">؛ </w:t>
      </w:r>
      <w:hyperlink r:id="rId27">
        <w:r>
          <w:rPr>
            <w:lang w:val="ar_AE" w:bidi="ar_AE"/>
          </w:rPr>
          <w:rPr>
            <w:color w:val="0000EE"/>
            <w:u w:val="single"/>
          </w:rPr>
          <w:t>14:6–9</w:t>
        </w:r>
      </w:hyperlink>
      <w:r>
        <w:rPr>
          <w:lang w:val="ar_AE" w:bidi="ar_AE"/>
        </w:rPr>
        <w:t>).</w:t>
      </w:r>
    </w:p>
    <w:p>
      <w:pPr>
        <w:bidi/>
      </w:pPr>
      <w:r>
        <w:rPr>
          <w:lang w:val="ar_AE" w:bidi="ar_AE"/>
        </w:rPr>
      </w:r>
      <w:r>
        <w:rPr>
          <w:lang w:val="ar_AE" w:bidi="ar_AE"/>
        </w:rPr>
        <w:t>قد تَمَّ اختبارُ جيشِ إِسْرَائِيل في عدة مناسبات قبل دخوله إلى أرضِ كنعان</w:t>
      </w:r>
      <w:r>
        <w:rPr>
          <w:lang w:val="ar_AE" w:bidi="ar_AE"/>
        </w:rPr>
        <w:t xml:space="preserve"> (الفصول </w:t>
      </w:r>
      <w:hyperlink r:id="rId22">
        <w:r>
          <w:rPr>
            <w:lang w:val="ar_AE" w:bidi="ar_AE"/>
          </w:rPr>
          <w:rPr>
            <w:color w:val="0000EE"/>
            <w:u w:val="single"/>
          </w:rPr>
          <w:t>14</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31</w:t>
        </w:r>
      </w:hyperlink>
      <w:r>
        <w:rPr>
          <w:lang w:val="ar_AE" w:bidi="ar_AE"/>
        </w:rPr>
        <w:t xml:space="preserve">)، </w:t>
      </w:r>
      <w:r>
        <w:rPr>
          <w:lang w:val="ar_AE" w:bidi="ar_AE"/>
        </w:rPr>
        <w:t>يَسْرِدُ السِّفْرُ قصة بَلْعَامَ</w:t>
      </w:r>
      <w:r>
        <w:rPr>
          <w:lang w:val="ar_AE" w:bidi="ar_AE"/>
        </w:rPr>
        <w:t xml:space="preserve"> (الفصول </w:t>
      </w:r>
      <w:hyperlink r:id="rId30">
        <w:r>
          <w:rPr>
            <w:lang w:val="ar_AE" w:bidi="ar_AE"/>
          </w:rPr>
          <w:rPr>
            <w:color w:val="0000EE"/>
            <w:u w:val="single"/>
          </w:rPr>
          <w:t>22–24</w:t>
        </w:r>
      </w:hyperlink>
      <w:r>
        <w:rPr>
          <w:lang w:val="ar_AE" w:bidi="ar_AE"/>
        </w:rPr>
        <w:t xml:space="preserve">). </w:t>
      </w:r>
      <w:r>
        <w:rPr>
          <w:lang w:val="ar_AE" w:bidi="ar_AE"/>
        </w:rPr>
        <w:t>واتخاذ الترتيبات اللازمة للاستقرار شَرْقَ الأُرْدُنِّ</w:t>
      </w:r>
      <w:r>
        <w:rPr>
          <w:lang w:val="ar_AE" w:bidi="ar_AE"/>
        </w:rPr>
        <w:t xml:space="preserve"> في (الفصل </w:t>
      </w:r>
      <w:hyperlink r:id="rId31">
        <w:r>
          <w:rPr>
            <w:lang w:val="ar_AE" w:bidi="ar_AE"/>
          </w:rPr>
          <w:rPr>
            <w:color w:val="0000EE"/>
            <w:u w:val="single"/>
          </w:rPr>
          <w:t>32</w:t>
        </w:r>
      </w:hyperlink>
      <w:r>
        <w:rPr>
          <w:lang w:val="ar_AE" w:bidi="ar_AE"/>
        </w:rPr>
        <w:t xml:space="preserve">)، </w:t>
      </w:r>
      <w:r>
        <w:rPr>
          <w:lang w:val="ar_AE" w:bidi="ar_AE"/>
        </w:rPr>
        <w:t>مع تقييم مسيرة الارتحال عبر البَرِّيَّةِ</w:t>
      </w:r>
      <w:r>
        <w:rPr>
          <w:lang w:val="ar_AE" w:bidi="ar_AE"/>
        </w:rPr>
        <w:t xml:space="preserve"> (الفصل </w:t>
      </w:r>
      <w:hyperlink r:id="rId32">
        <w:r>
          <w:rPr>
            <w:lang w:val="ar_AE" w:bidi="ar_AE"/>
          </w:rPr>
          <w:rPr>
            <w:color w:val="0000EE"/>
            <w:u w:val="single"/>
          </w:rPr>
          <w:t>33</w:t>
        </w:r>
      </w:hyperlink>
      <w:r>
        <w:rPr>
          <w:lang w:val="ar_AE" w:bidi="ar_AE"/>
        </w:rPr>
        <w:t>)، و</w:t>
      </w:r>
      <w:r>
        <w:rPr>
          <w:lang w:val="ar_AE" w:bidi="ar_AE"/>
        </w:rPr>
        <w:t>في نهاية السِّفرِ نقرأ عن توقُّع النَّبي مُوسَى امتلاك إسْرائيل لأرض كنعان</w:t>
      </w:r>
      <w:r>
        <w:rPr>
          <w:lang w:val="ar_AE" w:bidi="ar_AE"/>
        </w:rPr>
        <w:t xml:space="preserve"> (الفصول </w:t>
      </w:r>
      <w:hyperlink r:id="rId33">
        <w:r>
          <w:rPr>
            <w:lang w:val="ar_AE" w:bidi="ar_AE"/>
          </w:rPr>
          <w:rPr>
            <w:color w:val="0000EE"/>
            <w:u w:val="single"/>
          </w:rPr>
          <w:t>34–36</w:t>
        </w:r>
      </w:hyperlink>
      <w:r>
        <w:rPr>
          <w:lang w:val="ar_AE" w:bidi="ar_AE"/>
        </w:rPr>
        <w:t>).</w:t>
      </w:r>
    </w:p>
    <w:p>
      <w:pPr>
        <w:bidi/>
      </w:pPr>
      <w:r>
        <w:rPr>
          <w:lang w:val="ar_AE" w:bidi="ar_AE"/>
        </w:rPr>
      </w:r>
      <w:r>
        <w:rPr>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lang w:val="ar_AE" w:bidi="ar_AE"/>
        </w:rPr>
        <w:t>كَاتِبُ السِّفْرِ</w:t>
      </w:r>
    </w:p>
    <w:p>
      <w:pPr>
        <w:bidi/>
      </w:pPr>
      <w:r>
        <w:rPr>
          <w:lang w:val="ar_AE" w:bidi="ar_AE"/>
        </w:rPr>
      </w:r>
      <w:r>
        <w:rPr>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lang w:val="ar_AE" w:bidi="ar_AE"/>
        </w:rPr>
        <w:t xml:space="preserve"> (</w:t>
      </w:r>
      <w:hyperlink r:id="rId34">
        <w:r>
          <w:rPr>
            <w:lang w:val="ar_AE" w:bidi="ar_AE"/>
          </w:rPr>
          <w:rPr>
            <w:color w:val="0000EE"/>
            <w:u w:val="single"/>
          </w:rPr>
          <w:t>العَدَد 33:1–2</w:t>
        </w:r>
      </w:hyperlink>
      <w:r>
        <w:rPr>
          <w:lang w:val="ar_AE" w:bidi="ar_AE"/>
        </w:rPr>
        <w:t xml:space="preserve">). </w:t>
      </w:r>
      <w:r>
        <w:rPr>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lang w:val="ar_AE" w:bidi="ar_AE"/>
        </w:rPr>
        <w:t xml:space="preserve"> (</w:t>
      </w:r>
      <w:hyperlink r:id="rId35">
        <w:r>
          <w:rPr>
            <w:lang w:val="ar_AE" w:bidi="ar_AE"/>
          </w:rPr>
          <w:rPr>
            <w:color w:val="0000EE"/>
            <w:u w:val="single"/>
          </w:rPr>
          <w:t>التثنية 34</w:t>
        </w:r>
      </w:hyperlink>
      <w:r>
        <w:rPr>
          <w:lang w:val="ar_AE" w:bidi="ar_AE"/>
        </w:rPr>
        <w:t xml:space="preserve">). </w:t>
      </w:r>
      <w:r>
        <w:rPr>
          <w:lang w:val="ar_AE" w:bidi="ar_AE"/>
        </w:rPr>
        <w:t>ومن الممكن أيضًا أن يكون النَّبي مُوسَى قد أشرف على تجميع الكتب المنسوبة إليه أو أملى أجزاءً من أسفاره، على غرار الرَّسُول بُولُس</w:t>
      </w:r>
      <w:r>
        <w:rPr>
          <w:lang w:val="ar_AE" w:bidi="ar_AE"/>
        </w:rPr>
        <w:t>.</w:t>
      </w:r>
    </w:p>
    <w:p>
      <w:pPr>
        <w:bidi/>
      </w:pPr>
      <w:r>
        <w:rPr>
          <w:lang w:val="ar_AE" w:bidi="ar_AE"/>
        </w:rPr>
      </w:r>
      <w:r>
        <w:rPr>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lang w:val="ar_AE" w:bidi="ar_AE"/>
        </w:rPr>
        <w:t xml:space="preserve"> </w:t>
      </w:r>
      <w:r>
        <w:rPr>
          <w:lang w:val="ar_AE" w:bidi="ar_AE"/>
        </w:rPr>
        <w:t>مقدمة سفر التكوين،</w:t>
      </w:r>
      <w:r>
        <w:rPr>
          <w:lang w:val="ar_AE" w:bidi="ar_AE"/>
        </w:rPr>
        <w:t xml:space="preserve"> "كَاتِبُ السِّفْرِ"). </w:t>
      </w:r>
      <w:r>
        <w:rPr>
          <w:lang w:val="ar_AE" w:bidi="ar_AE"/>
        </w:rPr>
        <w:t>حتى مع السَّمَاح بتعديلاتٍ لاحقة أجراها النُّسَّاخ والمحررون، يشير سِفْرُ العَدَد بشكلٍ جوهري إلى نفسِهِ باعتباره عملاً من أعمال النبي مُوسَى</w:t>
      </w:r>
      <w:r>
        <w:rPr>
          <w:lang w:val="ar_AE" w:bidi="ar_AE"/>
        </w:rPr>
        <w:t>.</w:t>
      </w:r>
    </w:p>
    <w:p>
      <w:pPr>
        <w:pStyle w:val="Heading2"/>
        <w:bidi/>
      </w:pPr>
      <w:r>
        <w:rPr>
          <w:lang w:val="ar_AE" w:bidi="ar_AE"/>
        </w:rPr>
        <w:t>التَّارِيخُ والجُغْرافيا</w:t>
      </w:r>
    </w:p>
    <w:p>
      <w:pPr>
        <w:bidi/>
      </w:pPr>
      <w:r>
        <w:rPr>
          <w:lang w:val="ar_AE" w:bidi="ar_AE"/>
        </w:rPr>
      </w:r>
      <w:r>
        <w:rPr>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lang w:val="ar_AE" w:bidi="ar_AE"/>
        </w:rPr>
        <w:t xml:space="preserve"> </w:t>
      </w:r>
      <w:r>
        <w:rPr>
          <w:lang w:val="ar_AE" w:bidi="ar_AE"/>
        </w:rPr>
        <w:t>مقدمة سفر الخروج،</w:t>
      </w:r>
      <w:r>
        <w:rPr>
          <w:lang w:val="ar_AE" w:bidi="ar_AE"/>
        </w:rPr>
        <w:t xml:space="preserve"> "تاريخ الخروج").</w:t>
      </w:r>
    </w:p>
    <w:p>
      <w:pPr>
        <w:bidi/>
      </w:pPr>
      <w:r>
        <w:rPr>
          <w:lang w:val="ar_AE" w:bidi="ar_AE"/>
        </w:rPr>
      </w:r>
      <w:r>
        <w:rPr>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lang w:val="ar_AE" w:bidi="ar_AE"/>
        </w:rPr>
        <w:t>.</w:t>
      </w:r>
    </w:p>
    <w:p>
      <w:pPr>
        <w:pStyle w:val="Heading2"/>
        <w:bidi/>
      </w:pPr>
      <w:r>
        <w:rPr>
          <w:lang w:val="ar_AE" w:bidi="ar_AE"/>
        </w:rPr>
        <w:t>قَضَايا أَدَبِيّة</w:t>
      </w:r>
    </w:p>
    <w:p>
      <w:pPr>
        <w:bidi/>
      </w:pPr>
      <w:r>
        <w:rPr>
          <w:lang w:val="ar_AE" w:bidi="ar_AE"/>
        </w:rPr>
      </w:r>
      <w:r>
        <w:rPr>
          <w:b/>
          <w:lang w:val="ar_AE" w:bidi="ar_AE"/>
        </w:rPr>
        <w:t xml:space="preserve">عنوان السِّفر: </w:t>
      </w:r>
      <w:r>
        <w:rPr>
          <w:lang w:val="ar_AE" w:bidi="ar_AE"/>
        </w:rPr>
        <w:t>اسم "العَدَد" مشتقٌ من اهتمام هذا السِّفْرِ بالإحصائيات (‎الفصول</w:t>
      </w:r>
      <w:r>
        <w:rPr>
          <w:lang w:val="ar_AE" w:bidi="ar_AE"/>
        </w:rPr>
        <w:t xml:space="preserve"> </w:t>
      </w:r>
      <w:hyperlink r:id="rId18">
        <w:r>
          <w:rPr>
            <w:lang w:val="ar_AE" w:bidi="ar_AE"/>
          </w:rPr>
          <w:rPr>
            <w:color w:val="0000EE"/>
            <w:u w:val="single"/>
          </w:rPr>
          <w:t>1–4</w:t>
        </w:r>
      </w:hyperlink>
      <w:r>
        <w:rPr>
          <w:lang w:val="ar_AE" w:bidi="ar_AE"/>
        </w:rPr>
        <w:t xml:space="preserve">، </w:t>
      </w:r>
      <w:hyperlink r:id="rId19">
        <w:r>
          <w:rPr>
            <w:lang w:val="ar_AE" w:bidi="ar_AE"/>
          </w:rPr>
          <w:rPr>
            <w:color w:val="0000EE"/>
            <w:u w:val="single"/>
          </w:rPr>
          <w:t>26</w:t>
        </w:r>
      </w:hyperlink>
      <w:r>
        <w:rPr>
          <w:lang w:val="ar_AE" w:bidi="ar_AE"/>
        </w:rPr>
        <w:t>). و</w:t>
      </w:r>
      <w:r>
        <w:rPr>
          <w:lang w:val="ar_AE" w:bidi="ar_AE"/>
        </w:rPr>
        <w:t xml:space="preserve">هذا الاسمُ ترجمةٌ عربيةٌ للاسم </w:t>
      </w:r>
      <w:r>
        <w:rPr>
          <w:lang w:val="ar_AE" w:bidi="ar_AE"/>
        </w:rPr>
        <w:t>اليوناني "آرثمي"، و</w:t>
      </w:r>
      <w:r>
        <w:rPr>
          <w:lang w:val="ar_AE" w:bidi="ar_AE"/>
        </w:rPr>
        <w:t>اللاتيني "نُومِري"</w:t>
      </w:r>
      <w:r>
        <w:rPr>
          <w:lang w:val="ar_AE" w:bidi="ar_AE"/>
        </w:rPr>
        <w:t xml:space="preserve">، وهما اسمان للسِّفْر أطلقتهما على التوالي الترجمة السبعينية اليونانية للعَهْدِ القَدِيمِ، والفولجاتا اللاتينية. </w:t>
      </w:r>
      <w:r>
        <w:rPr>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lang w:val="ar_AE" w:bidi="ar_AE"/>
        </w:rPr>
        <w:t xml:space="preserve"> </w:t>
      </w:r>
      <w:hyperlink r:id="rId36">
        <w:r>
          <w:rPr>
            <w:lang w:val="ar_AE" w:bidi="ar_AE"/>
          </w:rPr>
          <w:rPr>
            <w:color w:val="0000EE"/>
            <w:u w:val="single"/>
          </w:rPr>
          <w:t>العدد 1:1</w:t>
        </w:r>
      </w:hyperlink>
      <w:r>
        <w:rPr>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lang w:val="ar_AE" w:bidi="ar_AE"/>
        </w:rPr>
      </w:r>
      <w:r>
        <w:rPr>
          <w:b/>
          <w:lang w:val="ar_AE" w:bidi="ar_AE"/>
        </w:rPr>
        <w:t>الأنماط الأدبية:</w:t>
      </w:r>
      <w:r>
        <w:rPr>
          <w:lang w:val="ar_AE" w:bidi="ar_AE"/>
        </w:rPr>
        <w:t xml:space="preserve"> </w:t>
      </w:r>
      <w:r>
        <w:rPr>
          <w:lang w:val="ar_AE" w:bidi="ar_AE"/>
        </w:rPr>
        <w:t>ينطوي سِفْرُ العددِ على مجموعةٍ متنوعة من الأنماط الأدبية الشائعة، كالأدب الروائي (</w:t>
      </w:r>
      <w:hyperlink r:id="rId37">
        <w:r>
          <w:rPr>
            <w:lang w:val="ar_AE" w:bidi="ar_AE"/>
          </w:rPr>
          <w:rPr>
            <w:color w:val="0000EE"/>
            <w:u w:val="single"/>
          </w:rPr>
          <w:t>10:11–14:45</w:t>
        </w:r>
      </w:hyperlink>
      <w:r>
        <w:rPr>
          <w:lang w:val="ar_AE" w:bidi="ar_AE"/>
        </w:rPr>
        <w:t xml:space="preserve">)، والشِّعْريِّ (الفصول </w:t>
      </w:r>
      <w:hyperlink r:id="rId38">
        <w:r>
          <w:rPr>
            <w:lang w:val="ar_AE" w:bidi="ar_AE"/>
          </w:rPr>
          <w:rPr>
            <w:color w:val="0000EE"/>
            <w:u w:val="single"/>
          </w:rPr>
          <w:t>23–24</w:t>
        </w:r>
      </w:hyperlink>
      <w:r>
        <w:rPr>
          <w:lang w:val="ar_AE" w:bidi="ar_AE"/>
        </w:rPr>
        <w:t xml:space="preserve">)، والتشريعي (الفصول </w:t>
      </w:r>
      <w:hyperlink r:id="rId39">
        <w:r>
          <w:rPr>
            <w:lang w:val="ar_AE" w:bidi="ar_AE"/>
          </w:rPr>
          <w:rPr>
            <w:color w:val="0000EE"/>
            <w:u w:val="single"/>
          </w:rPr>
          <w:t>4–6</w:t>
        </w:r>
      </w:hyperlink>
      <w:r>
        <w:rPr>
          <w:lang w:val="ar_AE" w:bidi="ar_AE"/>
        </w:rPr>
        <w:t xml:space="preserve">). كما يحتوي على قوائِمٍ مُفَصَّلَةٍ عن الحقائقِ والأرقام، وإحصائيات التسجيل (الفصول </w:t>
      </w:r>
      <w:hyperlink r:id="rId18">
        <w:r>
          <w:rPr>
            <w:lang w:val="ar_AE" w:bidi="ar_AE"/>
          </w:rPr>
          <w:rPr>
            <w:color w:val="0000EE"/>
            <w:u w:val="single"/>
          </w:rPr>
          <w:t>1–4</w:t>
        </w:r>
      </w:hyperlink>
      <w:r>
        <w:rPr>
          <w:lang w:val="ar_AE" w:bidi="ar_AE"/>
        </w:rPr>
        <w:t xml:space="preserve">)، والتقْدِمات والقرابين (الفصل </w:t>
      </w:r>
      <w:hyperlink r:id="rId40">
        <w:r>
          <w:rPr>
            <w:lang w:val="ar_AE" w:bidi="ar_AE"/>
          </w:rPr>
          <w:rPr>
            <w:color w:val="0000EE"/>
            <w:u w:val="single"/>
          </w:rPr>
          <w:t>7</w:t>
        </w:r>
      </w:hyperlink>
      <w:r>
        <w:rPr>
          <w:lang w:val="ar_AE" w:bidi="ar_AE"/>
        </w:rPr>
        <w:t xml:space="preserve">)، ومسيرات التِّيه في البرية (الفصل </w:t>
      </w:r>
      <w:hyperlink r:id="rId32">
        <w:r>
          <w:rPr>
            <w:lang w:val="ar_AE" w:bidi="ar_AE"/>
          </w:rPr>
          <w:rPr>
            <w:color w:val="0000EE"/>
            <w:u w:val="single"/>
          </w:rPr>
          <w:t>33</w:t>
        </w:r>
      </w:hyperlink>
      <w:r>
        <w:rPr>
          <w:lang w:val="ar_AE" w:bidi="ar_AE"/>
        </w:rPr>
        <w:t xml:space="preserve">). وتجمع ترجمة الحياة الجديدة القوائم النثرية العديدة في جداول مختصرة تضمُّ الأسماء والأعداد (الفصول </w:t>
      </w:r>
      <w:hyperlink r:id="rId41">
        <w:r>
          <w:rPr>
            <w:lang w:val="ar_AE" w:bidi="ar_AE"/>
          </w:rPr>
          <w:rPr>
            <w:color w:val="0000EE"/>
            <w:u w:val="single"/>
          </w:rPr>
          <w:t>1–2</w:t>
        </w:r>
      </w:hyperlink>
      <w:r>
        <w:rPr>
          <w:lang w:val="ar_AE" w:bidi="ar_AE"/>
        </w:rPr>
        <w:t xml:space="preserve">؛ </w:t>
      </w:r>
      <w:hyperlink r:id="rId42">
        <w:r>
          <w:rPr>
            <w:lang w:val="ar_AE" w:bidi="ar_AE"/>
          </w:rPr>
          <w:rPr>
            <w:color w:val="0000EE"/>
            <w:u w:val="single"/>
          </w:rPr>
          <w:t>13</w:t>
        </w:r>
      </w:hyperlink>
      <w:r>
        <w:rPr>
          <w:lang w:val="ar_AE" w:bidi="ar_AE"/>
        </w:rPr>
        <w:t xml:space="preserve">، </w:t>
      </w:r>
      <w:hyperlink r:id="rId43">
        <w:r>
          <w:rPr>
            <w:lang w:val="ar_AE" w:bidi="ar_AE"/>
          </w:rPr>
          <w:rPr>
            <w:color w:val="0000EE"/>
            <w:u w:val="single"/>
          </w:rPr>
          <w:t>34</w:t>
        </w:r>
      </w:hyperlink>
      <w:r>
        <w:rPr>
          <w:lang w:val="ar_AE" w:bidi="ar_AE"/>
        </w:rPr>
        <w:t>).</w:t>
      </w:r>
    </w:p>
    <w:p>
      <w:pPr>
        <w:bidi/>
      </w:pPr>
      <w:r>
        <w:rPr>
          <w:lang w:val="ar_AE" w:bidi="ar_AE"/>
        </w:rPr>
      </w:r>
      <w:r>
        <w:rPr>
          <w:b/>
          <w:lang w:val="ar_AE" w:bidi="ar_AE"/>
        </w:rPr>
        <w:t>المَصَادِرُ الأَدَبِيَّة:</w:t>
      </w:r>
      <w:r>
        <w:rPr>
          <w:lang w:val="ar_AE" w:bidi="ar_AE"/>
        </w:rPr>
        <w:t xml:space="preserve"> يَصِفُ سِفْر العَدَد في </w:t>
      </w:r>
      <w:r>
        <w:rPr>
          <w:lang w:val="ar_AE" w:bidi="ar_AE"/>
        </w:rPr>
        <w:t>الكِتَابُ المُقَدَّسُ</w:t>
      </w:r>
      <w:r>
        <w:rPr>
          <w:lang w:val="ar_AE" w:bidi="ar_AE"/>
        </w:rPr>
        <w:t xml:space="preserve"> العبريُّ مصادر قديمة يشير إليها النبي مُوسَى (وربما محرِّرُون لاحقون)، مثل "</w:t>
      </w:r>
      <w:r>
        <w:rPr>
          <w:b/>
          <w:lang w:val="ar_AE" w:bidi="ar_AE"/>
        </w:rPr>
        <w:t>كِتَابِ حُرُوبِ الرَّبِّ</w:t>
      </w:r>
      <w:r>
        <w:rPr>
          <w:lang w:val="ar_AE" w:bidi="ar_AE"/>
        </w:rPr>
        <w:t>" (</w:t>
      </w:r>
      <w:hyperlink r:id="rId44">
        <w:r>
          <w:rPr>
            <w:lang w:val="ar_AE" w:bidi="ar_AE"/>
          </w:rPr>
          <w:rPr>
            <w:color w:val="0000EE"/>
            <w:u w:val="single"/>
          </w:rPr>
          <w:t>21:14–15</w:t>
        </w:r>
      </w:hyperlink>
      <w:r>
        <w:rPr>
          <w:lang w:val="ar_AE" w:bidi="ar_AE"/>
        </w:rPr>
        <w:t>)، "نَشِيدِ البِئْر" (</w:t>
      </w:r>
      <w:hyperlink r:id="rId45">
        <w:r>
          <w:rPr>
            <w:lang w:val="ar_AE" w:bidi="ar_AE"/>
          </w:rPr>
          <w:rPr>
            <w:color w:val="0000EE"/>
            <w:u w:val="single"/>
          </w:rPr>
          <w:t>21:17–18</w:t>
        </w:r>
      </w:hyperlink>
      <w:r>
        <w:rPr>
          <w:lang w:val="ar_AE" w:bidi="ar_AE"/>
        </w:rPr>
        <w:t>)، و"نَشِيدِ حَشْبونَ" (</w:t>
      </w:r>
      <w:hyperlink r:id="rId46">
        <w:r>
          <w:rPr>
            <w:lang w:val="ar_AE" w:bidi="ar_AE"/>
          </w:rPr>
          <w:rPr>
            <w:color w:val="0000EE"/>
            <w:u w:val="single"/>
          </w:rPr>
          <w:t>21:27–30</w:t>
        </w:r>
      </w:hyperlink>
      <w:r>
        <w:rPr>
          <w:lang w:val="ar_AE" w:bidi="ar_AE"/>
        </w:rPr>
        <w:t xml:space="preserve">). كما تحتوي الفصول </w:t>
      </w:r>
      <w:hyperlink r:id="rId38">
        <w:r>
          <w:rPr>
            <w:lang w:val="ar_AE" w:bidi="ar_AE"/>
          </w:rPr>
          <w:rPr>
            <w:color w:val="0000EE"/>
            <w:u w:val="single"/>
          </w:rPr>
          <w:t>23–24</w:t>
        </w:r>
      </w:hyperlink>
      <w:r>
        <w:rPr>
          <w:lang w:val="ar_AE" w:bidi="ar_AE"/>
        </w:rPr>
        <w:t xml:space="preserve"> على كثيرٍ من الأبيات الشِّعْرِيَّة للنَّبِي غير الإسرائيلي بَلْعَامَ؛ ويبدو أن النصَّ الوارِد في </w:t>
      </w:r>
      <w:hyperlink r:id="rId47">
        <w:r>
          <w:rPr>
            <w:lang w:val="ar_AE" w:bidi="ar_AE"/>
          </w:rPr>
          <w:rPr>
            <w:color w:val="0000EE"/>
            <w:u w:val="single"/>
          </w:rPr>
          <w:t>31:32–47</w:t>
        </w:r>
      </w:hyperlink>
      <w:r>
        <w:rPr>
          <w:lang w:val="ar_AE" w:bidi="ar_AE"/>
        </w:rPr>
        <w:t xml:space="preserve"> يعتَمِدُ على سجلٍ فعليٍّ عن غنائم الحرب؛ كما يبدو أن الفصل </w:t>
      </w:r>
      <w:hyperlink r:id="rId32">
        <w:r>
          <w:rPr>
            <w:lang w:val="ar_AE" w:bidi="ar_AE"/>
          </w:rPr>
          <w:rPr>
            <w:color w:val="0000EE"/>
            <w:u w:val="single"/>
          </w:rPr>
          <w:t>33</w:t>
        </w:r>
      </w:hyperlink>
      <w:r>
        <w:rPr>
          <w:lang w:val="ar_AE" w:bidi="ar_AE"/>
        </w:rPr>
        <w:t xml:space="preserve"> مأخوذٌ من يومياتٍ مكتوبةٍ.</w:t>
      </w:r>
    </w:p>
    <w:p>
      <w:pPr>
        <w:bidi/>
      </w:pPr>
      <w:r>
        <w:rPr>
          <w:lang w:val="ar_AE" w:bidi="ar_AE"/>
        </w:rPr>
      </w:r>
      <w:r>
        <w:rPr>
          <w:b/>
          <w:lang w:val="ar_AE" w:bidi="ar_AE"/>
        </w:rPr>
        <w:t>النَّصُّ</w:t>
      </w:r>
      <w:r>
        <w:rPr>
          <w:lang w:val="ar_AE" w:bidi="ar_AE"/>
        </w:rPr>
        <w:t>. إن النَّصَّ العبري لِسِفْرِ العَدَد محفوظ بشكلٍ جيِّدٍ للغاية، باستثناء بعض الأقسام الشِّعْرِيَّة القليلة في الفصول</w:t>
      </w:r>
      <w:r>
        <w:rPr>
          <w:lang w:val="ar_AE" w:bidi="ar_AE"/>
        </w:rPr>
        <w:t xml:space="preserve"> </w:t>
      </w:r>
      <w:hyperlink r:id="rId48">
        <w:r>
          <w:rPr>
            <w:lang w:val="ar_AE" w:bidi="ar_AE"/>
          </w:rPr>
          <w:rPr>
            <w:color w:val="0000EE"/>
            <w:u w:val="single"/>
          </w:rPr>
          <w:t>21–24</w:t>
        </w:r>
      </w:hyperlink>
      <w:r>
        <w:rPr>
          <w:lang w:val="ar_AE" w:bidi="ar_AE"/>
        </w:rPr>
        <w:t xml:space="preserve"> </w:t>
      </w:r>
      <w:r>
        <w:rPr>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lang w:val="ar_AE" w:bidi="ar_AE"/>
        </w:rPr>
        <w:t xml:space="preserve">؛ </w:t>
      </w:r>
      <w:r>
        <w:rPr>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lang w:val="ar_AE" w:bidi="ar_AE"/>
        </w:rPr>
        <w:t>.</w:t>
      </w:r>
    </w:p>
    <w:p>
      <w:pPr>
        <w:pStyle w:val="Heading2"/>
        <w:bidi/>
      </w:pPr>
      <w:r>
        <w:rPr>
          <w:lang w:val="ar_AE" w:bidi="ar_AE"/>
        </w:rPr>
        <w:t>مَغْزَى السِّفر وَرِسَالَتُه</w:t>
      </w:r>
    </w:p>
    <w:p>
      <w:pPr>
        <w:bidi/>
      </w:pPr>
      <w:r>
        <w:rPr>
          <w:lang w:val="ar_AE" w:bidi="ar_AE"/>
        </w:rPr>
      </w:r>
      <w:r>
        <w:rPr>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lang w:val="ar_AE" w:bidi="ar_AE"/>
        </w:rPr>
        <w:t>.</w:t>
      </w:r>
    </w:p>
    <w:p>
      <w:pPr>
        <w:bidi/>
      </w:pPr>
      <w:r>
        <w:rPr>
          <w:lang w:val="ar_AE" w:bidi="ar_AE"/>
        </w:rPr>
      </w:r>
      <w:r>
        <w:rPr>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lang w:val="ar_AE" w:bidi="ar_AE"/>
        </w:rPr>
      </w:r>
      <w:r>
        <w:rPr>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 كورنثوس 10:1–11</w:t>
        </w:r>
      </w:hyperlink>
      <w:r>
        <w:rPr>
          <w:lang w:val="ar_AE" w:bidi="ar_AE"/>
        </w:rPr>
        <w:t xml:space="preserve">، </w:t>
      </w:r>
      <w:r>
        <w:rPr>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lang w:val="ar_AE" w:bidi="ar_AE"/>
        </w:rPr>
        <w:t xml:space="preserve"> (</w:t>
      </w:r>
      <w:hyperlink r:id="rId50">
        <w:r>
          <w:rPr>
            <w:lang w:val="ar_AE" w:bidi="ar_AE"/>
          </w:rPr>
          <w:rPr>
            <w:color w:val="0000EE"/>
            <w:u w:val="single"/>
          </w:rPr>
          <w:t>1 كورنثوس 10:9</w:t>
        </w:r>
      </w:hyperlink>
      <w:r>
        <w:rPr>
          <w:lang w:val="ar_AE" w:bidi="ar_AE"/>
        </w:rPr>
        <w:t>).</w:t>
      </w:r>
    </w:p>
    <w:p>
      <w:pPr>
        <w:pStyle w:val="ListBullet"/>
        <w:bidi/>
        <w:spacing w:line="240" w:lineRule="auto"/>
        <w:ind w:left="720"/>
      </w:pPr>
      <w:r>
        <w:rPr>
          <w:lang w:val="ar_AE" w:bidi="ar_AE"/>
        </w:rPr>
      </w:r>
      <w:r>
        <w:rPr>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lang w:val="ar_AE" w:bidi="ar_AE"/>
        </w:rPr>
        <w:t xml:space="preserve"> (</w:t>
      </w:r>
      <w:hyperlink r:id="rId51">
        <w:r>
          <w:rPr>
            <w:lang w:val="ar_AE" w:bidi="ar_AE"/>
          </w:rPr>
          <w:rPr>
            <w:color w:val="0000EE"/>
            <w:u w:val="single"/>
          </w:rPr>
          <w:t>عبرانيين 3:7–4:11</w:t>
        </w:r>
      </w:hyperlink>
      <w:r>
        <w:rPr>
          <w:lang w:val="ar_AE" w:bidi="ar_AE"/>
        </w:rPr>
        <w:t xml:space="preserve">). </w:t>
      </w:r>
      <w:r>
        <w:rPr>
          <w:lang w:val="ar_AE" w:bidi="ar_AE"/>
        </w:rPr>
        <w:t xml:space="preserve">هذه النصوص التي تعتمدُ بشكلٍ كبيرٍ على مفرداتِ </w:t>
      </w:r>
      <w:hyperlink r:id="rId52">
        <w:r>
          <w:rPr>
            <w:lang w:val="ar_AE" w:bidi="ar_AE"/>
          </w:rPr>
          <w:rPr>
            <w:color w:val="0000EE"/>
            <w:u w:val="single"/>
          </w:rPr>
          <w:t>المزمور 95</w:t>
        </w:r>
      </w:hyperlink>
      <w:r>
        <w:rPr>
          <w:lang w:val="ar_AE" w:bidi="ar_AE"/>
        </w:rPr>
        <w:t xml:space="preserve">، </w:t>
      </w:r>
      <w:r>
        <w:rPr>
          <w:lang w:val="ar_AE" w:bidi="ar_AE"/>
        </w:rPr>
        <w:t>مُشَبَّعَة بمصطلحات تعكِسُ دينونةَ الله على خطيَّة إسْرائِيل</w:t>
      </w:r>
      <w:r>
        <w:rPr>
          <w:lang w:val="ar_AE" w:bidi="ar_AE"/>
        </w:rPr>
        <w:t>.</w:t>
      </w:r>
    </w:p>
    <w:p>
      <w:pPr>
        <w:pStyle w:val="ListBullet"/>
        <w:bidi/>
        <w:spacing w:line="240" w:lineRule="auto"/>
        <w:ind w:left="720"/>
      </w:pPr>
      <w:r>
        <w:rPr>
          <w:lang w:val="ar_AE" w:bidi="ar_AE"/>
        </w:rPr>
      </w:r>
      <w:r>
        <w:rPr>
          <w:lang w:val="ar_AE" w:bidi="ar_AE"/>
        </w:rPr>
        <w:t xml:space="preserve">النصُّ الوارِدُ في </w:t>
      </w:r>
      <w:hyperlink r:id="rId53">
        <w:r>
          <w:rPr>
            <w:lang w:val="ar_AE" w:bidi="ar_AE"/>
          </w:rPr>
          <w:rPr>
            <w:color w:val="0000EE"/>
            <w:u w:val="single"/>
          </w:rPr>
          <w:t>يهوذا 1:5</w:t>
        </w:r>
      </w:hyperlink>
      <w:r>
        <w:rPr>
          <w:lang w:val="ar_AE" w:bidi="ar_AE"/>
        </w:rPr>
        <w:t xml:space="preserve"> </w:t>
      </w:r>
      <w:r>
        <w:rPr>
          <w:lang w:val="ar_AE" w:bidi="ar_AE"/>
        </w:rPr>
        <w:t>يُعلِّمُ المسيحيين عن الأمانة بتلخيص سِفْرِ العَدَد</w:t>
      </w:r>
      <w:r>
        <w:rPr>
          <w:lang w:val="ar_AE" w:bidi="ar_AE"/>
        </w:rPr>
        <w:t>.</w:t>
      </w:r>
    </w:p>
    <w:p>
      <w:pPr>
        <w:bidi/>
      </w:pPr>
      <w:r>
        <w:rPr>
          <w:lang w:val="ar_AE" w:bidi="ar_AE"/>
        </w:rPr>
      </w:r>
      <w:r>
        <w:rPr>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lang w:val="ar_AE" w:bidi="ar_AE"/>
        </w:rPr>
        <w:t xml:space="preserve"> سالكين بحياة الإيمان والطاعة لرَبِّهِم.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