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سِفر الجامعة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lang w:val="ar_AE" w:bidi="ar_AE"/>
        </w:rPr>
        <w:t>أحداث وخلفيات السِفر</w:t>
      </w:r>
    </w:p>
    <w:p>
      <w:pPr>
        <w:bidi/>
      </w:pPr>
      <w:r>
        <w:rPr>
          <w:lang w:val="ar_AE" w:bidi="ar_AE"/>
        </w:rPr>
      </w:r>
      <w:r>
        <w:rPr>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lang w:val="ar_AE" w:bidi="ar_AE"/>
        </w:rPr>
        <w:t>الخُلاصة</w:t>
      </w:r>
    </w:p>
    <w:p>
      <w:pPr>
        <w:bidi/>
      </w:pPr>
      <w:r>
        <w:rPr>
          <w:lang w:val="ar_AE" w:bidi="ar_AE"/>
        </w:rPr>
      </w:r>
      <w:r>
        <w:rPr>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hyperlink r:id="rId15">
        <w:r>
          <w:rPr>
            <w:lang w:val="ar_AE" w:bidi="ar_AE"/>
          </w:rPr>
          <w:rPr>
            <w:color w:val="0000EE"/>
            <w:u w:val="single"/>
          </w:rPr>
          <w:t>1:1</w:t>
        </w:r>
      </w:hyperlink>
      <w:r>
        <w:rPr>
          <w:lang w:val="ar_AE" w:bidi="ar_AE"/>
        </w:rPr>
        <w:t>) وخاتمة واستنتاج (</w:t>
      </w:r>
      <w:hyperlink r:id="rId16">
        <w:r>
          <w:rPr>
            <w:lang w:val="ar_AE" w:bidi="ar_AE"/>
          </w:rPr>
          <w:rPr>
            <w:color w:val="0000EE"/>
            <w:u w:val="single"/>
          </w:rPr>
          <w:t>12:9–14</w:t>
        </w:r>
      </w:hyperlink>
      <w:r>
        <w:rPr>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lang w:val="ar_AE" w:bidi="ar_AE"/>
        </w:rPr>
      </w:r>
      <w:r>
        <w:rPr>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lang w:val="ar_AE" w:bidi="ar_AE"/>
        </w:rPr>
        <w:t>هيبِل</w:t>
      </w:r>
      <w:r>
        <w:rPr>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hyperlink r:id="rId17">
        <w:r>
          <w:rPr>
            <w:lang w:val="ar_AE" w:bidi="ar_AE"/>
          </w:rPr>
          <w:rPr>
            <w:color w:val="0000EE"/>
            <w:u w:val="single"/>
          </w:rPr>
          <w:t>12:13–14</w:t>
        </w:r>
      </w:hyperlink>
      <w:r>
        <w:rPr>
          <w:lang w:val="ar_AE" w:bidi="ar_AE"/>
        </w:rPr>
        <w:t>).</w:t>
      </w:r>
    </w:p>
    <w:p>
      <w:pPr>
        <w:pStyle w:val="Heading2"/>
        <w:bidi/>
      </w:pPr>
      <w:r>
        <w:rPr>
          <w:lang w:val="ar_AE" w:bidi="ar_AE"/>
        </w:rPr>
        <w:t>الكاتِب ومُتلقِّي السِفر</w:t>
      </w:r>
    </w:p>
    <w:p>
      <w:pPr>
        <w:bidi/>
      </w:pPr>
      <w:r>
        <w:rPr>
          <w:lang w:val="ar_AE" w:bidi="ar_AE"/>
        </w:rPr>
      </w:r>
      <w:r>
        <w:rPr>
          <w:lang w:val="ar_AE" w:bidi="ar_AE"/>
        </w:rPr>
        <w:t>يُعرَّف المتحدث الأساسي بأنه ملِكٌ، وبأنه المُعلّم أو "</w:t>
      </w:r>
      <w:r>
        <w:rPr>
          <w:lang w:val="ar_AE" w:bidi="ar_AE"/>
        </w:rPr>
        <w:t>ٱلْجَامِعَة</w:t>
      </w:r>
      <w:r>
        <w:rPr>
          <w:lang w:val="ar_AE" w:bidi="ar_AE"/>
        </w:rPr>
        <w:t xml:space="preserve">"، وابن داود (انظر </w:t>
      </w:r>
      <w:hyperlink r:id="rId15">
        <w:r>
          <w:rPr>
            <w:lang w:val="ar_AE" w:bidi="ar_AE"/>
          </w:rPr>
          <w:rPr>
            <w:color w:val="0000EE"/>
            <w:u w:val="single"/>
          </w:rPr>
          <w:t>1:1</w:t>
        </w:r>
      </w:hyperlink>
      <w:r>
        <w:rPr>
          <w:lang w:val="ar_AE" w:bidi="ar_AE"/>
        </w:rPr>
        <w:t xml:space="preserve">، </w:t>
      </w:r>
      <w:hyperlink r:id="rId18">
        <w:r>
          <w:rPr>
            <w:lang w:val="ar_AE" w:bidi="ar_AE"/>
          </w:rPr>
          <w:rPr>
            <w:color w:val="0000EE"/>
            <w:u w:val="single"/>
          </w:rPr>
          <w:t>12</w:t>
        </w:r>
      </w:hyperlink>
      <w:r>
        <w:rPr>
          <w:lang w:val="ar_AE" w:bidi="ar_AE"/>
        </w:rPr>
        <w:t xml:space="preserve">، </w:t>
      </w:r>
      <w:hyperlink r:id="rId19">
        <w:r>
          <w:rPr>
            <w:lang w:val="ar_AE" w:bidi="ar_AE"/>
          </w:rPr>
          <w:rPr>
            <w:color w:val="0000EE"/>
            <w:u w:val="single"/>
          </w:rPr>
          <w:t>16</w:t>
        </w:r>
      </w:hyperlink>
      <w:r>
        <w:rPr>
          <w:lang w:val="ar_AE" w:bidi="ar_AE"/>
        </w:rPr>
        <w:t xml:space="preserve">؛ </w:t>
      </w:r>
      <w:hyperlink r:id="rId20">
        <w:r>
          <w:rPr>
            <w:lang w:val="ar_AE" w:bidi="ar_AE"/>
          </w:rPr>
          <w:rPr>
            <w:color w:val="0000EE"/>
            <w:u w:val="single"/>
          </w:rPr>
          <w:t>2:7</w:t>
        </w:r>
      </w:hyperlink>
      <w:r>
        <w:rPr>
          <w:lang w:val="ar_AE" w:bidi="ar_AE"/>
        </w:rPr>
        <w:t xml:space="preserve">، </w:t>
      </w:r>
      <w:hyperlink r:id="rId21">
        <w:r>
          <w:rPr>
            <w:lang w:val="ar_AE" w:bidi="ar_AE"/>
          </w:rPr>
          <w:rPr>
            <w:color w:val="0000EE"/>
            <w:u w:val="single"/>
          </w:rPr>
          <w:t>9</w:t>
        </w:r>
      </w:hyperlink>
      <w:r>
        <w:rPr>
          <w:lang w:val="ar_AE" w:bidi="ar_AE"/>
        </w:rPr>
        <w:t>)؛ تشير هذه الألقاب بقوة إلى سليمان. نجد خطابه موضوعًا ضمن التعليقات الافتتاحية والختامية للمُحرر (</w:t>
      </w:r>
      <w:hyperlink r:id="rId15">
        <w:r>
          <w:rPr>
            <w:lang w:val="ar_AE" w:bidi="ar_AE"/>
          </w:rPr>
          <w:rPr>
            <w:color w:val="0000EE"/>
            <w:u w:val="single"/>
          </w:rPr>
          <w:t>1:1</w:t>
        </w:r>
      </w:hyperlink>
      <w:r>
        <w:rPr>
          <w:lang w:val="ar_AE" w:bidi="ar_AE"/>
        </w:rPr>
        <w:t xml:space="preserve">؛ </w:t>
      </w:r>
      <w:hyperlink r:id="rId16">
        <w:r>
          <w:rPr>
            <w:lang w:val="ar_AE" w:bidi="ar_AE"/>
          </w:rPr>
          <w:rPr>
            <w:color w:val="0000EE"/>
            <w:u w:val="single"/>
          </w:rPr>
          <w:t>12:9–14</w:t>
        </w:r>
      </w:hyperlink>
      <w:r>
        <w:rPr>
          <w:lang w:val="ar_AE" w:bidi="ar_AE"/>
        </w:rPr>
        <w:t>)، الذي يُوقِّر المُعلم الحكيم ويضيف بعض نصائحه المفيدة الخاصة.</w:t>
      </w:r>
    </w:p>
    <w:p>
      <w:pPr>
        <w:bidi/>
      </w:pPr>
      <w:r>
        <w:rPr>
          <w:lang w:val="ar_AE" w:bidi="ar_AE"/>
        </w:rPr>
      </w:r>
      <w:r>
        <w:rPr>
          <w:lang w:val="ar_AE" w:bidi="ar_AE"/>
        </w:rPr>
        <w:t>يعني المصطلَح المُترجَم "</w:t>
      </w:r>
      <w:r>
        <w:rPr>
          <w:lang w:val="ar_AE" w:bidi="ar_AE"/>
        </w:rPr>
        <w:t>ٱلْجَامِعَةِ</w:t>
      </w:r>
      <w:r>
        <w:rPr>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hyperlink r:id="rId22">
        <w:r>
          <w:rPr>
            <w:lang w:val="ar_AE" w:bidi="ar_AE"/>
          </w:rPr>
          <w:rPr>
            <w:color w:val="0000EE"/>
            <w:u w:val="single"/>
          </w:rPr>
          <w:t>2 أخبار 5:2–7:7</w:t>
        </w:r>
      </w:hyperlink>
      <w:r>
        <w:rPr>
          <w:lang w:val="ar_AE" w:bidi="ar_AE"/>
        </w:rPr>
        <w:t>). ذُكر أيضًا أن العديد من الملوك والسفراء جاؤوا لسماع سليمان يتحدث بسبب حكمته (</w:t>
      </w:r>
      <w:hyperlink r:id="rId23">
        <w:r>
          <w:rPr>
            <w:lang w:val="ar_AE" w:bidi="ar_AE"/>
          </w:rPr>
          <w:rPr>
            <w:color w:val="0000EE"/>
            <w:u w:val="single"/>
          </w:rPr>
          <w:t>1 ملوك 4:34؛</w:t>
        </w:r>
      </w:hyperlink>
      <w:r>
        <w:rPr>
          <w:lang w:val="ar_AE" w:bidi="ar_AE"/>
        </w:rPr>
        <w:t xml:space="preserve"> </w:t>
      </w:r>
      <w:hyperlink r:id="rId24">
        <w:r>
          <w:rPr>
            <w:lang w:val="ar_AE" w:bidi="ar_AE"/>
          </w:rPr>
          <w:rPr>
            <w:color w:val="0000EE"/>
            <w:u w:val="single"/>
          </w:rPr>
          <w:t>10:23–24</w:t>
        </w:r>
      </w:hyperlink>
      <w:r>
        <w:rPr>
          <w:lang w:val="ar_AE" w:bidi="ar_AE"/>
        </w:rPr>
        <w:t>). ربما قُدِّمَ محتوى الجامعة علنًا في واحدة أو أكثر من هذه المناسبات.</w:t>
      </w:r>
    </w:p>
    <w:p>
      <w:pPr>
        <w:pStyle w:val="Heading2"/>
        <w:bidi/>
      </w:pPr>
      <w:r>
        <w:rPr>
          <w:lang w:val="ar_AE" w:bidi="ar_AE"/>
        </w:rPr>
        <w:t>سِفر الجامعة أدب حِكمة</w:t>
      </w:r>
    </w:p>
    <w:p>
      <w:pPr>
        <w:bidi/>
      </w:pPr>
      <w:r>
        <w:rPr>
          <w:lang w:val="ar_AE" w:bidi="ar_AE"/>
        </w:rPr>
      </w:r>
      <w:r>
        <w:rPr>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lang w:val="ar_AE" w:bidi="ar_AE"/>
        </w:rPr>
        <w:t>المعنى والرسالة</w:t>
      </w:r>
    </w:p>
    <w:p>
      <w:pPr>
        <w:bidi/>
      </w:pPr>
      <w:r>
        <w:rPr>
          <w:lang w:val="ar_AE" w:bidi="ar_AE"/>
        </w:rPr>
      </w:r>
      <w:r>
        <w:rPr>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lang w:val="ar_AE" w:bidi="ar_AE"/>
        </w:rPr>
      </w:r>
      <w:r>
        <w:rPr>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hyperlink r:id="rId17">
        <w:r>
          <w:rPr>
            <w:lang w:val="ar_AE" w:bidi="ar_AE"/>
          </w:rPr>
          <w:rPr>
            <w:color w:val="0000EE"/>
            <w:u w:val="single"/>
          </w:rPr>
          <w:t>12:13–14</w:t>
        </w:r>
      </w:hyperlink>
      <w:r>
        <w:rPr>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lang w:val="ar_AE" w:bidi="ar_AE"/>
        </w:rPr>
      </w:r>
      <w:r>
        <w:rPr>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