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سِفر ناحوم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lang w:val="ar_AE" w:bidi="ar_AE"/>
        </w:rPr>
        <w:t>أحداث وخلفية السِفر</w:t>
      </w:r>
    </w:p>
    <w:p>
      <w:pPr>
        <w:bidi/>
      </w:pPr>
      <w:r>
        <w:rPr>
          <w:lang w:val="ar_AE" w:bidi="ar_AE"/>
        </w:rPr>
      </w:r>
      <w:r>
        <w:rPr>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hyperlink r:id="rId15">
        <w:r>
          <w:rPr>
            <w:lang w:val="ar_AE" w:bidi="ar_AE"/>
          </w:rPr>
          <w:rPr>
            <w:color w:val="0000EE"/>
            <w:u w:val="single"/>
          </w:rPr>
          <w:t>3:8–10</w:t>
        </w:r>
      </w:hyperlink>
      <w:r>
        <w:rPr>
          <w:lang w:val="ar_AE" w:bidi="ar_AE"/>
        </w:rPr>
        <w:t>).</w:t>
      </w:r>
    </w:p>
    <w:p>
      <w:pPr>
        <w:bidi/>
      </w:pPr>
      <w:r>
        <w:rPr>
          <w:lang w:val="ar_AE" w:bidi="ar_AE"/>
        </w:rPr>
      </w:r>
      <w:r>
        <w:rPr>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hyperlink r:id="rId16">
        <w:r>
          <w:rPr>
            <w:lang w:val="ar_AE" w:bidi="ar_AE"/>
          </w:rPr>
          <w:rPr>
            <w:color w:val="0000EE"/>
            <w:u w:val="single"/>
          </w:rPr>
          <w:t>2 أخبار 33:10–11</w:t>
        </w:r>
      </w:hyperlink>
      <w:r>
        <w:rPr>
          <w:lang w:val="ar_AE" w:bidi="ar_AE"/>
        </w:rPr>
        <w:t>). بعد إطلاق سراحه من الأسر، حاول منسى التائب (</w:t>
      </w:r>
      <w:hyperlink r:id="rId17">
        <w:r>
          <w:rPr>
            <w:lang w:val="ar_AE" w:bidi="ar_AE"/>
          </w:rPr>
          <w:rPr>
            <w:color w:val="0000EE"/>
            <w:u w:val="single"/>
          </w:rPr>
          <w:t>2 أخبار 33:12–17</w:t>
        </w:r>
      </w:hyperlink>
      <w:r>
        <w:rPr>
          <w:lang w:val="ar_AE" w:bidi="ar_AE"/>
        </w:rPr>
        <w:t>) مَحْو شروره السابقة (</w:t>
      </w:r>
      <w:hyperlink r:id="rId18">
        <w:r>
          <w:rPr>
            <w:lang w:val="ar_AE" w:bidi="ar_AE"/>
          </w:rPr>
          <w:rPr>
            <w:color w:val="0000EE"/>
            <w:u w:val="single"/>
          </w:rPr>
          <w:t>2 ملوك 21:1–18؛</w:t>
        </w:r>
      </w:hyperlink>
      <w:r>
        <w:rPr>
          <w:lang w:val="ar_AE" w:bidi="ar_AE"/>
        </w:rPr>
        <w:t xml:space="preserve"> </w:t>
      </w:r>
      <w:hyperlink r:id="rId19">
        <w:r>
          <w:rPr>
            <w:lang w:val="ar_AE" w:bidi="ar_AE"/>
          </w:rPr>
          <w:rPr>
            <w:color w:val="0000EE"/>
            <w:u w:val="single"/>
          </w:rPr>
          <w:t>2 أخبار 33:1–9</w:t>
        </w:r>
      </w:hyperlink>
      <w:r>
        <w:rPr>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lang w:val="ar_AE" w:bidi="ar_AE"/>
        </w:rPr>
      </w:r>
      <w:r>
        <w:rPr>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lang w:val="ar_AE" w:bidi="ar_AE"/>
        </w:rPr>
        <w:t>الخُلاصة</w:t>
      </w:r>
    </w:p>
    <w:p>
      <w:pPr>
        <w:bidi/>
      </w:pPr>
      <w:r>
        <w:rPr>
          <w:lang w:val="ar_AE" w:bidi="ar_AE"/>
        </w:rPr>
      </w:r>
      <w:r>
        <w:rPr>
          <w:lang w:val="ar_AE" w:bidi="ar_AE"/>
        </w:rPr>
        <w:t xml:space="preserve">يبدأ ناحوم نبوءته بتصوير قوة الله في مقطعَين شعريَين بارزَين، </w:t>
      </w:r>
      <w:hyperlink r:id="rId20">
        <w:r>
          <w:rPr>
            <w:lang w:val="ar_AE" w:bidi="ar_AE"/>
          </w:rPr>
          <w:rPr>
            <w:color w:val="0000EE"/>
            <w:u w:val="single"/>
          </w:rPr>
          <w:t>1:2–6</w:t>
        </w:r>
      </w:hyperlink>
      <w:r>
        <w:rPr>
          <w:lang w:val="ar_AE" w:bidi="ar_AE"/>
        </w:rPr>
        <w:t xml:space="preserve"> و</w:t>
      </w:r>
      <w:hyperlink r:id="rId21">
        <w:r>
          <w:rPr>
            <w:lang w:val="ar_AE" w:bidi="ar_AE"/>
          </w:rPr>
          <w:rPr>
            <w:color w:val="0000EE"/>
            <w:u w:val="single"/>
          </w:rPr>
          <w:t>1:7–11</w:t>
        </w:r>
      </w:hyperlink>
      <w:r>
        <w:rPr>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lang w:val="ar_AE" w:bidi="ar_AE"/>
        </w:rPr>
      </w:r>
      <w:r>
        <w:rPr>
          <w:lang w:val="ar_AE" w:bidi="ar_AE"/>
        </w:rPr>
        <w:t>ثم يوضح ناحوم ما تعنيه عدالة الله السيادية في مَجرَى التاريخ (</w:t>
      </w:r>
      <w:hyperlink r:id="rId22">
        <w:r>
          <w:rPr>
            <w:lang w:val="ar_AE" w:bidi="ar_AE"/>
          </w:rPr>
          <w:rPr>
            <w:color w:val="0000EE"/>
            <w:u w:val="single"/>
          </w:rPr>
          <w:t>1:12–15</w:t>
        </w:r>
      </w:hyperlink>
      <w:r>
        <w:rPr>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lang w:val="ar_AE" w:bidi="ar_AE"/>
        </w:rPr>
      </w:r>
      <w:r>
        <w:rPr>
          <w:lang w:val="ar_AE" w:bidi="ar_AE"/>
        </w:rPr>
        <w:t>بعد التنبؤ بحصار نينوى وعودة الأوضاع الطبيعية في يهوذا (</w:t>
      </w:r>
      <w:hyperlink r:id="rId23">
        <w:r>
          <w:rPr>
            <w:lang w:val="ar_AE" w:bidi="ar_AE"/>
          </w:rPr>
          <w:rPr>
            <w:color w:val="0000EE"/>
            <w:u w:val="single"/>
          </w:rPr>
          <w:t>2:1–2</w:t>
        </w:r>
      </w:hyperlink>
      <w:r>
        <w:rPr>
          <w:lang w:val="ar_AE" w:bidi="ar_AE"/>
        </w:rPr>
        <w:t>)، يصف ناحوم سقوط العاصمة الآشورية مِن خلال صورتَين حيتَين (</w:t>
      </w:r>
      <w:hyperlink r:id="rId24">
        <w:r>
          <w:rPr>
            <w:lang w:val="ar_AE" w:bidi="ar_AE"/>
          </w:rPr>
          <w:rPr>
            <w:color w:val="0000EE"/>
            <w:u w:val="single"/>
          </w:rPr>
          <w:t>2:3–10</w:t>
        </w:r>
      </w:hyperlink>
      <w:r>
        <w:rPr>
          <w:lang w:val="ar_AE" w:bidi="ar_AE"/>
        </w:rPr>
        <w:t xml:space="preserve">؛ </w:t>
      </w:r>
      <w:hyperlink r:id="rId25">
        <w:r>
          <w:rPr>
            <w:lang w:val="ar_AE" w:bidi="ar_AE"/>
          </w:rPr>
          <w:rPr>
            <w:color w:val="0000EE"/>
            <w:u w:val="single"/>
          </w:rPr>
          <w:t>3:1–7</w:t>
        </w:r>
      </w:hyperlink>
      <w:r>
        <w:rPr>
          <w:lang w:val="ar_AE" w:bidi="ar_AE"/>
        </w:rPr>
        <w:t>). بين هاتين الروايتَين، يتأمل ناحوم في دمار نينوى عبر ترنيمة قصيرة تهكمية. بإحساس ساخر، يعلن عن نية الله في إنهاء جشع نينوى المتكبرة (</w:t>
      </w:r>
      <w:hyperlink r:id="rId26">
        <w:r>
          <w:rPr>
            <w:lang w:val="ar_AE" w:bidi="ar_AE"/>
          </w:rPr>
          <w:rPr>
            <w:color w:val="0000EE"/>
            <w:u w:val="single"/>
          </w:rPr>
          <w:t>2:11–13</w:t>
        </w:r>
      </w:hyperlink>
      <w:r>
        <w:rPr>
          <w:lang w:val="ar_AE" w:bidi="ar_AE"/>
        </w:rPr>
        <w:t>).</w:t>
      </w:r>
    </w:p>
    <w:p>
      <w:pPr>
        <w:bidi/>
      </w:pPr>
      <w:r>
        <w:rPr>
          <w:lang w:val="ar_AE" w:bidi="ar_AE"/>
        </w:rPr>
      </w:r>
      <w:r>
        <w:rPr>
          <w:lang w:val="ar_AE" w:bidi="ar_AE"/>
        </w:rPr>
        <w:t>يبني ناحوم على وصفه الثاني لسقوط نينوى مِن خلال تهكم آخر عن المدينة. لن تكون نينوى مدينة يمكن الدفاع عنها أكثر من عاصمة مصر، نُو (</w:t>
      </w:r>
      <w:hyperlink r:id="rId27">
        <w:r>
          <w:rPr>
            <w:lang w:val="ar_AE" w:bidi="ar_AE"/>
          </w:rPr>
          <w:rPr>
            <w:color w:val="0000EE"/>
            <w:u w:val="single"/>
          </w:rPr>
          <w:t>3:8–13</w:t>
        </w:r>
      </w:hyperlink>
      <w:r>
        <w:rPr>
          <w:lang w:val="ar_AE" w:bidi="ar_AE"/>
        </w:rPr>
        <w:t>)، التي دمَّرها أشور. يختتم ناحوم نبوءته بقطعة أخرى من التهكُّم (</w:t>
      </w:r>
      <w:hyperlink r:id="rId28">
        <w:r>
          <w:rPr>
            <w:lang w:val="ar_AE" w:bidi="ar_AE"/>
          </w:rPr>
          <w:rPr>
            <w:color w:val="0000EE"/>
            <w:u w:val="single"/>
          </w:rPr>
          <w:t>3:14–19</w:t>
        </w:r>
      </w:hyperlink>
      <w:r>
        <w:rPr>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lang w:val="ar_AE" w:bidi="ar_AE"/>
        </w:rPr>
        <w:t>كاتِب السِفر</w:t>
      </w:r>
    </w:p>
    <w:p>
      <w:pPr>
        <w:bidi/>
      </w:pPr>
      <w:r>
        <w:rPr>
          <w:lang w:val="ar_AE" w:bidi="ar_AE"/>
        </w:rPr>
      </w:r>
      <w:r>
        <w:rPr>
          <w:lang w:val="ar_AE" w:bidi="ar_AE"/>
        </w:rPr>
        <w:t>بخلاف القليل الذي يمكن استخلاصه من كتاباته، لا يُعرف شيئًا عن ناحوم، مؤلف هذه النبوة القصيرة. في النص العبري، يُعرف باسم "ناحوم الألقوشي" (</w:t>
      </w:r>
      <w:hyperlink r:id="rId29">
        <w:r>
          <w:rPr>
            <w:lang w:val="ar_AE" w:bidi="ar_AE"/>
          </w:rPr>
          <w:rPr>
            <w:color w:val="0000EE"/>
            <w:u w:val="single"/>
          </w:rPr>
          <w:t>1:1</w:t>
        </w:r>
      </w:hyperlink>
      <w:r>
        <w:rPr>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lang w:val="ar_AE" w:bidi="ar_AE"/>
        </w:rPr>
        <w:t>تاريخ الكتابة</w:t>
      </w:r>
    </w:p>
    <w:p>
      <w:pPr>
        <w:bidi/>
      </w:pPr>
      <w:r>
        <w:rPr>
          <w:lang w:val="ar_AE" w:bidi="ar_AE"/>
        </w:rPr>
      </w:r>
      <w:r>
        <w:rPr>
          <w:lang w:val="ar_AE" w:bidi="ar_AE"/>
        </w:rPr>
        <w:t xml:space="preserve">يذكر ناحوم سقوط نُو (663 قبل الميلاد؛ </w:t>
      </w:r>
      <w:hyperlink r:id="rId30">
        <w:r>
          <w:rPr>
            <w:lang w:val="ar_AE" w:bidi="ar_AE"/>
          </w:rPr>
          <w:rPr>
            <w:color w:val="0000EE"/>
            <w:u w:val="single"/>
          </w:rPr>
          <w:t>3:10</w:t>
        </w:r>
      </w:hyperlink>
      <w:r>
        <w:rPr>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hyperlink r:id="rId31">
        <w:r>
          <w:rPr>
            <w:lang w:val="ar_AE" w:bidi="ar_AE"/>
          </w:rPr>
          <w:rPr>
            <w:color w:val="0000EE"/>
            <w:u w:val="single"/>
          </w:rPr>
          <w:t>2 أخبار 33:12–16</w:t>
        </w:r>
      </w:hyperlink>
      <w:r>
        <w:rPr>
          <w:lang w:val="ar_AE" w:bidi="ar_AE"/>
        </w:rPr>
        <w:t>). أو قد يكون ذلك لاحقًا، خلال الجزء المبكر أو الأوسط من حُكم الملِك الصالح يوشيّا (640–609 قبل الميلاد).</w:t>
      </w:r>
    </w:p>
    <w:p>
      <w:pPr>
        <w:pStyle w:val="Heading2"/>
        <w:bidi/>
      </w:pPr>
      <w:r>
        <w:rPr>
          <w:lang w:val="ar_AE" w:bidi="ar_AE"/>
        </w:rPr>
        <w:t>المعنى والرسالة</w:t>
      </w:r>
    </w:p>
    <w:p>
      <w:pPr>
        <w:bidi/>
      </w:pPr>
      <w:r>
        <w:rPr>
          <w:lang w:val="ar_AE" w:bidi="ar_AE"/>
        </w:rPr>
      </w:r>
      <w:r>
        <w:rPr>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lang w:val="ar_AE" w:bidi="ar_AE"/>
        </w:rPr>
      </w:r>
      <w:r>
        <w:rPr>
          <w:lang w:val="ar_AE" w:bidi="ar_AE"/>
        </w:rPr>
        <w:t>الله طويل الأناة (</w:t>
      </w:r>
      <w:hyperlink r:id="rId32">
        <w:r>
          <w:rPr>
            <w:lang w:val="ar_AE" w:bidi="ar_AE"/>
          </w:rPr>
          <w:rPr>
            <w:color w:val="0000EE"/>
            <w:u w:val="single"/>
          </w:rPr>
          <w:t>1:3</w:t>
        </w:r>
      </w:hyperlink>
      <w:r>
        <w:rPr>
          <w:lang w:val="ar_AE" w:bidi="ar_AE"/>
        </w:rPr>
        <w:t>)، ويجب على شعبه أن يكونوا صبورين. يُشجِّع تأكيد أن هذا الرب الراعي الصالح (</w:t>
      </w:r>
      <w:hyperlink r:id="rId33">
        <w:r>
          <w:rPr>
            <w:lang w:val="ar_AE" w:bidi="ar_AE"/>
          </w:rPr>
          <w:rPr>
            <w:color w:val="0000EE"/>
            <w:u w:val="single"/>
          </w:rPr>
          <w:t>1:7</w:t>
        </w:r>
      </w:hyperlink>
      <w:r>
        <w:rPr>
          <w:lang w:val="ar_AE" w:bidi="ar_AE"/>
        </w:rPr>
        <w:t>) لديه هدف واضح لشعبه (</w:t>
      </w:r>
      <w:hyperlink r:id="rId34">
        <w:r>
          <w:rPr>
            <w:lang w:val="ar_AE" w:bidi="ar_AE"/>
          </w:rPr>
          <w:rPr>
            <w:color w:val="0000EE"/>
            <w:u w:val="single"/>
          </w:rPr>
          <w:t>2:2</w:t>
        </w:r>
      </w:hyperlink>
      <w:r>
        <w:rPr>
          <w:lang w:val="ar_AE" w:bidi="ar_AE"/>
        </w:rPr>
        <w:t>) على حياة مليئة بالإيمان والثقة. تكمُن خلف نبرة السِفر المتوعدة أخبار الرجاء السارة (</w:t>
      </w:r>
      <w:hyperlink r:id="rId35">
        <w:r>
          <w:rPr>
            <w:lang w:val="ar_AE" w:bidi="ar_AE"/>
          </w:rPr>
          <w:rPr>
            <w:color w:val="0000EE"/>
            <w:u w:val="single"/>
          </w:rPr>
          <w:t>1:15</w:t>
        </w:r>
      </w:hyperlink>
      <w:r>
        <w:rPr>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lang w:val="ar_AE" w:bidi="ar_AE"/>
        </w:rPr>
      </w:r>
      <w:r>
        <w:rPr>
          <w:lang w:val="ar_AE" w:bidi="ar_AE"/>
        </w:rPr>
        <w:t>وَجَد كُتّاب الكتاب المقدس اللاحقين في بشارة ناحوم وعدًا ببشارة المسيح (</w:t>
      </w:r>
      <w:hyperlink r:id="rId36">
        <w:r>
          <w:rPr>
            <w:lang w:val="ar_AE" w:bidi="ar_AE"/>
          </w:rPr>
          <w:rPr>
            <w:color w:val="0000EE"/>
            <w:u w:val="single"/>
          </w:rPr>
          <w:t>رو 10:15</w:t>
        </w:r>
      </w:hyperlink>
      <w:r>
        <w:rPr>
          <w:lang w:val="ar_AE" w:bidi="ar_AE"/>
        </w:rPr>
        <w:t xml:space="preserve">؛ انظر أيضًا </w:t>
      </w:r>
      <w:hyperlink r:id="rId37">
        <w:r>
          <w:rPr>
            <w:lang w:val="ar_AE" w:bidi="ar_AE"/>
          </w:rPr>
          <w:rPr>
            <w:color w:val="0000EE"/>
            <w:u w:val="single"/>
          </w:rPr>
          <w:t>إشعياء 52:7</w:t>
        </w:r>
      </w:hyperlink>
      <w:r>
        <w:rPr>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