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رسالة تيموثاوس الثانية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تيموثاوس الثانية</w:t>
      </w:r>
      <w:r>
        <w:rPr>
          <w:lang w:val="ar_AE" w:bidi="ar_AE"/>
        </w:rPr>
      </w:r>
    </w:p>
    <w:p>
      <w:pPr>
        <w:bidi/>
      </w:pPr>
      <w:r>
        <w:rPr>
          <w:lang w:val="ar_AE" w:bidi="ar_AE"/>
        </w:rPr>
      </w:r>
      <w:r>
        <w:rPr>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hyperlink r:id="rId15">
        <w:r>
          <w:rPr>
            <w:lang w:val="ar_AE" w:bidi="ar_AE"/>
          </w:rPr>
          <w:rPr>
            <w:color w:val="0000EE"/>
            <w:u w:val="single"/>
          </w:rPr>
          <w:t>4:7–8</w:t>
        </w:r>
      </w:hyperlink>
      <w:r>
        <w:rPr>
          <w:lang w:val="ar_AE" w:bidi="ar_AE"/>
        </w:rPr>
        <w:t>) ومن خلالها، منح الكنيسة القوة لمواصلة العمل في غيابه. ستستمر الكرازة بالخبر السار.</w:t>
      </w:r>
    </w:p>
    <w:p>
      <w:pPr>
        <w:pStyle w:val="Heading2"/>
        <w:bidi/>
      </w:pPr>
      <w:r>
        <w:rPr>
          <w:lang w:val="ar_AE" w:bidi="ar_AE"/>
        </w:rPr>
        <w:t>أحداث وخلفية الرسالة</w:t>
      </w:r>
    </w:p>
    <w:p>
      <w:pPr>
        <w:bidi/>
      </w:pPr>
      <w:r>
        <w:rPr>
          <w:lang w:val="ar_AE" w:bidi="ar_AE"/>
        </w:rPr>
      </w:r>
      <w:r>
        <w:rPr>
          <w:lang w:val="ar_AE" w:bidi="ar_AE"/>
        </w:rPr>
        <w:t>بعد تحوُّل بولس (</w:t>
      </w:r>
      <w:hyperlink r:id="rId16">
        <w:r>
          <w:rPr>
            <w:lang w:val="ar_AE" w:bidi="ar_AE"/>
          </w:rPr>
          <w:rPr>
            <w:color w:val="0000EE"/>
            <w:u w:val="single"/>
          </w:rPr>
          <w:t>أعمال 9:1–19</w:t>
        </w:r>
      </w:hyperlink>
      <w:r>
        <w:rPr>
          <w:lang w:val="ar_AE" w:bidi="ar_AE"/>
        </w:rPr>
        <w:t>), امتد عمله الرسولي من أورشليم في الشرق إلى أقصى الغرب حتى إيطاليا (</w:t>
      </w:r>
      <w:hyperlink r:id="rId17">
        <w:r>
          <w:rPr>
            <w:lang w:val="ar_AE" w:bidi="ar_AE"/>
          </w:rPr>
          <w:rPr>
            <w:color w:val="0000EE"/>
            <w:u w:val="single"/>
          </w:rPr>
          <w:t>أعمال 28:30–31؛</w:t>
        </w:r>
      </w:hyperlink>
      <w:r>
        <w:rPr>
          <w:lang w:val="ar_AE" w:bidi="ar_AE"/>
        </w:rPr>
        <w:t xml:space="preserve"> </w:t>
      </w:r>
      <w:hyperlink r:id="rId18">
        <w:r>
          <w:rPr>
            <w:lang w:val="ar_AE" w:bidi="ar_AE"/>
          </w:rPr>
          <w:rPr>
            <w:color w:val="0000EE"/>
            <w:u w:val="single"/>
          </w:rPr>
          <w:t>رومية 15:19</w:t>
        </w:r>
      </w:hyperlink>
      <w:r>
        <w:rPr>
          <w:lang w:val="ar_AE" w:bidi="ar_AE"/>
        </w:rPr>
        <w:t>), بما في ذلك مُدة قضاها في آسيا الصغرى، ولا سيما أفسس (</w:t>
      </w:r>
      <w:hyperlink r:id="rId19">
        <w:r>
          <w:rPr>
            <w:lang w:val="ar_AE" w:bidi="ar_AE"/>
          </w:rPr>
          <w:rPr>
            <w:color w:val="0000EE"/>
            <w:u w:val="single"/>
          </w:rPr>
          <w:t>أعمال 19:1–20:1؛</w:t>
        </w:r>
      </w:hyperlink>
      <w:r>
        <w:rPr>
          <w:lang w:val="ar_AE" w:bidi="ar_AE"/>
        </w:rPr>
        <w:t xml:space="preserve"> </w:t>
      </w:r>
      <w:hyperlink r:id="rId20">
        <w:r>
          <w:rPr>
            <w:lang w:val="ar_AE" w:bidi="ar_AE"/>
          </w:rPr>
          <w:rPr>
            <w:color w:val="0000EE"/>
            <w:u w:val="single"/>
          </w:rPr>
          <w:t>20:31</w:t>
        </w:r>
      </w:hyperlink>
      <w:r>
        <w:rPr>
          <w:lang w:val="ar_AE" w:bidi="ar_AE"/>
        </w:rPr>
        <w:t>). انتهت هذه المدّة عندما اعتُقِلَ بولس في أورشليم (</w:t>
      </w:r>
      <w:hyperlink r:id="rId21">
        <w:r>
          <w:rPr>
            <w:lang w:val="ar_AE" w:bidi="ar_AE"/>
          </w:rPr>
          <w:rPr>
            <w:color w:val="0000EE"/>
            <w:u w:val="single"/>
          </w:rPr>
          <w:t>أعمال 21:27–36</w:t>
        </w:r>
      </w:hyperlink>
      <w:r>
        <w:rPr>
          <w:lang w:val="ar_AE" w:bidi="ar_AE"/>
        </w:rPr>
        <w:t>)، واحتُجِز في قيصرية (</w:t>
      </w:r>
      <w:hyperlink r:id="rId22">
        <w:r>
          <w:rPr>
            <w:lang w:val="ar_AE" w:bidi="ar_AE"/>
          </w:rPr>
          <w:rPr>
            <w:color w:val="0000EE"/>
            <w:u w:val="single"/>
          </w:rPr>
          <w:t>أعمال 23:23–26:32</w:t>
        </w:r>
      </w:hyperlink>
      <w:r>
        <w:rPr>
          <w:lang w:val="ar_AE" w:bidi="ar_AE"/>
        </w:rPr>
        <w:t>)، وسُجِنَ في رومَا (</w:t>
      </w:r>
      <w:hyperlink r:id="rId23">
        <w:r>
          <w:rPr>
            <w:lang w:val="ar_AE" w:bidi="ar_AE"/>
          </w:rPr>
          <w:rPr>
            <w:color w:val="0000EE"/>
            <w:u w:val="single"/>
          </w:rPr>
          <w:t>أعمال 28:16–31</w:t>
        </w:r>
      </w:hyperlink>
      <w:r>
        <w:rPr>
          <w:lang w:val="ar_AE" w:bidi="ar_AE"/>
        </w:rPr>
        <w:t>). أُخلي سبيل بولس في النهاية، وشارك في المزيد من الخدمة. كتب 1 تيموثاوس وتيطس خلال هذا الوقت. اعتُقِل وسُجنَ في رومَا للمرة الثانية (</w:t>
      </w:r>
      <w:hyperlink r:id="rId24">
        <w:r>
          <w:rPr>
            <w:lang w:val="ar_AE" w:bidi="ar_AE"/>
          </w:rPr>
          <w:rPr>
            <w:color w:val="0000EE"/>
            <w:u w:val="single"/>
          </w:rPr>
          <w:t>1:8،</w:t>
        </w:r>
      </w:hyperlink>
      <w:r>
        <w:rPr>
          <w:lang w:val="ar_AE" w:bidi="ar_AE"/>
        </w:rPr>
        <w:t xml:space="preserve"> </w:t>
      </w:r>
      <w:hyperlink r:id="rId25">
        <w:r>
          <w:rPr>
            <w:lang w:val="ar_AE" w:bidi="ar_AE"/>
          </w:rPr>
          <w:rPr>
            <w:color w:val="0000EE"/>
            <w:u w:val="single"/>
          </w:rPr>
          <w:t>16–17؛</w:t>
        </w:r>
      </w:hyperlink>
      <w:r>
        <w:rPr>
          <w:lang w:val="ar_AE" w:bidi="ar_AE"/>
        </w:rPr>
        <w:t xml:space="preserve"> </w:t>
      </w:r>
      <w:hyperlink r:id="rId26">
        <w:r>
          <w:rPr>
            <w:lang w:val="ar_AE" w:bidi="ar_AE"/>
          </w:rPr>
          <w:rPr>
            <w:color w:val="0000EE"/>
            <w:u w:val="single"/>
          </w:rPr>
          <w:t>2:9</w:t>
        </w:r>
      </w:hyperlink>
      <w:r>
        <w:rPr>
          <w:lang w:val="ar_AE" w:bidi="ar_AE"/>
        </w:rPr>
        <w:t>).</w:t>
      </w:r>
    </w:p>
    <w:p>
      <w:pPr>
        <w:bidi/>
      </w:pPr>
      <w:r>
        <w:rPr>
          <w:lang w:val="ar_AE" w:bidi="ar_AE"/>
        </w:rPr>
      </w:r>
      <w:r>
        <w:rPr>
          <w:lang w:val="ar_AE" w:bidi="ar_AE"/>
        </w:rPr>
        <w:t xml:space="preserve">هذه الرسالة، المكتوبة من السجن في رومَا، جاءت خلال المرحلة الأخيرة من حياة بولس (انظر </w:t>
      </w:r>
      <w:hyperlink r:id="rId27">
        <w:r>
          <w:rPr>
            <w:lang w:val="ar_AE" w:bidi="ar_AE"/>
          </w:rPr>
          <w:rPr>
            <w:color w:val="0000EE"/>
            <w:u w:val="single"/>
          </w:rPr>
          <w:t>4:6–18</w:t>
        </w:r>
      </w:hyperlink>
      <w:r>
        <w:rPr>
          <w:lang w:val="ar_AE" w:bidi="ar_AE"/>
        </w:rPr>
        <w:t>). كُتبت إلى تيموثاوس، العامِل مع بولس مخلصًا له ومُفوَّضًا منه. كان تيموثاوس في مقاطعة آسيا في ذلك الوقت، ربما في أفسس (</w:t>
      </w:r>
      <w:hyperlink r:id="rId28">
        <w:r>
          <w:rPr>
            <w:lang w:val="ar_AE" w:bidi="ar_AE"/>
          </w:rPr>
          <w:rPr>
            <w:color w:val="0000EE"/>
            <w:u w:val="single"/>
          </w:rPr>
          <w:t>4:13،</w:t>
        </w:r>
      </w:hyperlink>
      <w:r>
        <w:rPr>
          <w:lang w:val="ar_AE" w:bidi="ar_AE"/>
        </w:rPr>
        <w:t xml:space="preserve"> </w:t>
      </w:r>
      <w:hyperlink r:id="rId29">
        <w:r>
          <w:rPr>
            <w:lang w:val="ar_AE" w:bidi="ar_AE"/>
          </w:rPr>
          <w:rPr>
            <w:color w:val="0000EE"/>
            <w:u w:val="single"/>
          </w:rPr>
          <w:t>19</w:t>
        </w:r>
      </w:hyperlink>
      <w:r>
        <w:rPr>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lang w:val="ar_AE" w:bidi="ar_AE"/>
        </w:rPr>
        <w:t>الخُلاصة</w:t>
      </w:r>
    </w:p>
    <w:p>
      <w:pPr>
        <w:bidi/>
      </w:pPr>
      <w:r>
        <w:rPr>
          <w:lang w:val="ar_AE" w:bidi="ar_AE"/>
        </w:rPr>
      </w:r>
      <w:r>
        <w:rPr>
          <w:lang w:val="ar_AE" w:bidi="ar_AE"/>
        </w:rPr>
        <w:t>بعد التحية التقليدية (</w:t>
      </w:r>
      <w:hyperlink r:id="rId30">
        <w:r>
          <w:rPr>
            <w:lang w:val="ar_AE" w:bidi="ar_AE"/>
          </w:rPr>
          <w:rPr>
            <w:color w:val="0000EE"/>
            <w:u w:val="single"/>
          </w:rPr>
          <w:t>1:1–2</w:t>
        </w:r>
      </w:hyperlink>
      <w:r>
        <w:rPr>
          <w:lang w:val="ar_AE" w:bidi="ar_AE"/>
        </w:rPr>
        <w:t>)، والشكر والصلاة (</w:t>
      </w:r>
      <w:hyperlink r:id="rId31">
        <w:r>
          <w:rPr>
            <w:lang w:val="ar_AE" w:bidi="ar_AE"/>
          </w:rPr>
          <w:rPr>
            <w:color w:val="0000EE"/>
            <w:u w:val="single"/>
          </w:rPr>
          <w:t>1:3–4</w:t>
        </w:r>
      </w:hyperlink>
      <w:r>
        <w:rPr>
          <w:lang w:val="ar_AE" w:bidi="ar_AE"/>
        </w:rPr>
        <w:t>)، يطلب بولس من تيموثاوس أن يشاركه في الآلام في سبيل انتشار الكرازة (</w:t>
      </w:r>
      <w:hyperlink r:id="rId32">
        <w:r>
          <w:rPr>
            <w:lang w:val="ar_AE" w:bidi="ar_AE"/>
          </w:rPr>
          <w:rPr>
            <w:color w:val="0000EE"/>
            <w:u w:val="single"/>
          </w:rPr>
          <w:t>1:5–18</w:t>
        </w:r>
      </w:hyperlink>
      <w:r>
        <w:rPr>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lang w:val="ar_AE" w:bidi="ar_AE"/>
        </w:rPr>
      </w:r>
      <w:r>
        <w:rPr>
          <w:lang w:val="ar_AE" w:bidi="ar_AE"/>
        </w:rPr>
        <w:t>ثم يشجع بولس تيموثاوس مرة أخرى (</w:t>
      </w:r>
      <w:hyperlink r:id="rId33">
        <w:r>
          <w:rPr>
            <w:lang w:val="ar_AE" w:bidi="ar_AE"/>
          </w:rPr>
          <w:rPr>
            <w:color w:val="0000EE"/>
            <w:u w:val="single"/>
          </w:rPr>
          <w:t>2:1–13</w:t>
        </w:r>
      </w:hyperlink>
      <w:r>
        <w:rPr>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hyperlink r:id="rId34">
        <w:r>
          <w:rPr>
            <w:lang w:val="ar_AE" w:bidi="ar_AE"/>
          </w:rPr>
          <w:rPr>
            <w:color w:val="0000EE"/>
            <w:u w:val="single"/>
          </w:rPr>
          <w:t>2:14–26</w:t>
        </w:r>
      </w:hyperlink>
      <w:r>
        <w:rPr>
          <w:lang w:val="ar_AE" w:bidi="ar_AE"/>
        </w:rPr>
        <w:t>).</w:t>
      </w:r>
    </w:p>
    <w:p>
      <w:pPr>
        <w:bidi/>
      </w:pPr>
      <w:r>
        <w:rPr>
          <w:lang w:val="ar_AE" w:bidi="ar_AE"/>
        </w:rPr>
      </w:r>
      <w:r>
        <w:rPr>
          <w:lang w:val="ar_AE" w:bidi="ar_AE"/>
        </w:rPr>
        <w:t>ثم تتسع الرؤية لتضع مهمة تيموثاوس في سياق الأيام الأخيرة (</w:t>
      </w:r>
      <w:hyperlink r:id="rId35">
        <w:r>
          <w:rPr>
            <w:lang w:val="ar_AE" w:bidi="ar_AE"/>
          </w:rPr>
          <w:rPr>
            <w:color w:val="0000EE"/>
            <w:u w:val="single"/>
          </w:rPr>
          <w:t>3:1–4:8</w:t>
        </w:r>
      </w:hyperlink>
      <w:r>
        <w:rPr>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lang w:val="ar_AE" w:bidi="ar_AE"/>
        </w:rPr>
      </w:r>
      <w:r>
        <w:rPr>
          <w:lang w:val="ar_AE" w:bidi="ar_AE"/>
        </w:rPr>
        <w:t>تُختَتم الرسالة بنداء إلى تيموثاوس ليأتي إلى رومَا في أقرب وقت ممكن (</w:t>
      </w:r>
      <w:hyperlink r:id="rId36">
        <w:r>
          <w:rPr>
            <w:lang w:val="ar_AE" w:bidi="ar_AE"/>
          </w:rPr>
          <w:rPr>
            <w:color w:val="0000EE"/>
            <w:u w:val="single"/>
          </w:rPr>
          <w:t>4:9–18</w:t>
        </w:r>
      </w:hyperlink>
      <w:r>
        <w:rPr>
          <w:lang w:val="ar_AE" w:bidi="ar_AE"/>
        </w:rPr>
        <w:t>). يقدم بولس تحيات وأخبارًا وحثًا نهائيًا لتيموثاوس للسفَر في رحلته إلى رومَا قبل الشتاء (</w:t>
      </w:r>
      <w:hyperlink r:id="rId37">
        <w:r>
          <w:rPr>
            <w:lang w:val="ar_AE" w:bidi="ar_AE"/>
          </w:rPr>
          <w:rPr>
            <w:color w:val="0000EE"/>
            <w:u w:val="single"/>
          </w:rPr>
          <w:t>4:19–21</w:t>
        </w:r>
      </w:hyperlink>
      <w:r>
        <w:rPr>
          <w:lang w:val="ar_AE" w:bidi="ar_AE"/>
        </w:rPr>
        <w:t>). ثم يختم بولس ببركة (</w:t>
      </w:r>
      <w:hyperlink r:id="rId38">
        <w:r>
          <w:rPr>
            <w:lang w:val="ar_AE" w:bidi="ar_AE"/>
          </w:rPr>
          <w:rPr>
            <w:color w:val="0000EE"/>
            <w:u w:val="single"/>
          </w:rPr>
          <w:t>4:22</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من الممكن أن تكون 2 تيموثاوس قد كُتبت خلال السجن الأول لبولس في رومَا (</w:t>
      </w:r>
      <w:hyperlink r:id="rId39">
        <w:r>
          <w:rPr>
            <w:lang w:val="ar_AE" w:bidi="ar_AE"/>
          </w:rPr>
          <w:rPr>
            <w:color w:val="0000EE"/>
            <w:u w:val="single"/>
          </w:rPr>
          <w:t>أعمال الرسل 28:1–31</w:t>
        </w:r>
      </w:hyperlink>
      <w:r>
        <w:rPr>
          <w:lang w:val="ar_AE" w:bidi="ar_AE"/>
        </w:rPr>
        <w:t xml:space="preserve">). مع ذلك، فإن الأدلة تُعطي دعمًا أقوى لتاريخ لاحق، خلال السجن الثاني في رومَا الذي أدَّى إلى وفاة بولس (انظر </w:t>
      </w:r>
      <w:r>
        <w:rPr>
          <w:lang w:val="ar_AE" w:bidi="ar_AE"/>
        </w:rPr>
        <w:t>مُقدمة رسالة تيموثاوس الأولى</w:t>
      </w:r>
      <w:r>
        <w:rPr>
          <w:lang w:val="ar_AE" w:bidi="ar_AE"/>
        </w:rPr>
        <w:t>، "تاريخ الكتابة").</w:t>
      </w:r>
    </w:p>
    <w:p>
      <w:pPr>
        <w:pStyle w:val="Heading2"/>
        <w:bidi/>
      </w:pPr>
      <w:r>
        <w:rPr>
          <w:lang w:val="ar_AE" w:bidi="ar_AE"/>
        </w:rPr>
        <w:t>غرض الكتابة</w:t>
      </w:r>
    </w:p>
    <w:p>
      <w:pPr>
        <w:bidi/>
      </w:pPr>
      <w:r>
        <w:rPr>
          <w:lang w:val="ar_AE" w:bidi="ar_AE"/>
        </w:rPr>
      </w:r>
      <w:r>
        <w:rPr>
          <w:lang w:val="ar_AE" w:bidi="ar_AE"/>
        </w:rPr>
        <w:t>لا نعرف تفاصيل اعتقال بولس الثاني. ربما كان للإسكندر (</w:t>
      </w:r>
      <w:hyperlink r:id="rId40">
        <w:r>
          <w:rPr>
            <w:lang w:val="ar_AE" w:bidi="ar_AE"/>
          </w:rPr>
          <w:rPr>
            <w:color w:val="0000EE"/>
            <w:u w:val="single"/>
          </w:rPr>
          <w:t>4:14–15</w:t>
        </w:r>
      </w:hyperlink>
      <w:r>
        <w:rPr>
          <w:lang w:val="ar_AE" w:bidi="ar_AE"/>
        </w:rPr>
        <w:t>)، وهو هرطوقي قام بولس بتأديبه سابقًا (</w:t>
      </w:r>
      <w:hyperlink r:id="rId41">
        <w:r>
          <w:rPr>
            <w:lang w:val="ar_AE" w:bidi="ar_AE"/>
          </w:rPr>
          <w:rPr>
            <w:color w:val="0000EE"/>
            <w:u w:val="single"/>
          </w:rPr>
          <w:t>1 تيموثاوس 1:20</w:t>
        </w:r>
      </w:hyperlink>
      <w:r>
        <w:rPr>
          <w:lang w:val="ar_AE" w:bidi="ar_AE"/>
        </w:rPr>
        <w:t xml:space="preserve">)، دور في الاعتقال (انظر </w:t>
      </w:r>
      <w:hyperlink r:id="rId42">
        <w:r>
          <w:rPr>
            <w:lang w:val="ar_AE" w:bidi="ar_AE"/>
          </w:rPr>
          <w:rPr>
            <w:color w:val="0000EE"/>
            <w:u w:val="single"/>
          </w:rPr>
          <w:t>2 تيموثاوس 4:16–18</w:t>
        </w:r>
      </w:hyperlink>
      <w:r>
        <w:rPr>
          <w:lang w:val="ar_AE" w:bidi="ar_AE"/>
        </w:rPr>
        <w:t xml:space="preserve">). ربما حدث ذلك في آسيا الصغرى (انظر </w:t>
      </w:r>
      <w:hyperlink r:id="rId43">
        <w:r>
          <w:rPr>
            <w:lang w:val="ar_AE" w:bidi="ar_AE"/>
          </w:rPr>
          <w:rPr>
            <w:color w:val="0000EE"/>
            <w:u w:val="single"/>
          </w:rPr>
          <w:t>1:15</w:t>
        </w:r>
      </w:hyperlink>
      <w:r>
        <w:rPr>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hyperlink r:id="rId44">
        <w:r>
          <w:rPr>
            <w:lang w:val="ar_AE" w:bidi="ar_AE"/>
          </w:rPr>
          <w:rPr>
            <w:color w:val="0000EE"/>
            <w:u w:val="single"/>
          </w:rPr>
          <w:t>2 تيموثاوس 2:3؛</w:t>
        </w:r>
      </w:hyperlink>
      <w:r>
        <w:rPr>
          <w:lang w:val="ar_AE" w:bidi="ar_AE"/>
        </w:rPr>
        <w:t xml:space="preserve"> </w:t>
      </w:r>
      <w:hyperlink r:id="rId45">
        <w:r>
          <w:rPr>
            <w:lang w:val="ar_AE" w:bidi="ar_AE"/>
          </w:rPr>
          <w:rPr>
            <w:color w:val="0000EE"/>
            <w:u w:val="single"/>
          </w:rPr>
          <w:t>4:7؛</w:t>
        </w:r>
      </w:hyperlink>
      <w:r>
        <w:rPr>
          <w:lang w:val="ar_AE" w:bidi="ar_AE"/>
        </w:rPr>
        <w:t xml:space="preserve"> انظر أيضًا </w:t>
      </w:r>
      <w:hyperlink r:id="rId46">
        <w:r>
          <w:rPr>
            <w:lang w:val="ar_AE" w:bidi="ar_AE"/>
          </w:rPr>
          <w:rPr>
            <w:color w:val="0000EE"/>
            <w:u w:val="single"/>
          </w:rPr>
          <w:t>1 تيموثاوس 1:18؛</w:t>
        </w:r>
      </w:hyperlink>
      <w:r>
        <w:rPr>
          <w:lang w:val="ar_AE" w:bidi="ar_AE"/>
        </w:rPr>
        <w:t xml:space="preserve"> </w:t>
      </w:r>
      <w:hyperlink r:id="rId47">
        <w:r>
          <w:rPr>
            <w:lang w:val="ar_AE" w:bidi="ar_AE"/>
          </w:rPr>
          <w:rPr>
            <w:color w:val="0000EE"/>
            <w:u w:val="single"/>
          </w:rPr>
          <w:t>6:12</w:t>
        </w:r>
      </w:hyperlink>
      <w:r>
        <w:rPr>
          <w:lang w:val="ar_AE" w:bidi="ar_AE"/>
        </w:rPr>
        <w:t>) مجرد صراع مجازي أو روحي. يمكن فهم التوجيهات حول الصلاة للسلطات المدنية (</w:t>
      </w:r>
      <w:hyperlink r:id="rId48">
        <w:r>
          <w:rPr>
            <w:lang w:val="ar_AE" w:bidi="ar_AE"/>
          </w:rPr>
          <w:rPr>
            <w:color w:val="0000EE"/>
            <w:u w:val="single"/>
          </w:rPr>
          <w:t>1 تيموثاوس 2:1–7؛</w:t>
        </w:r>
      </w:hyperlink>
      <w:r>
        <w:rPr>
          <w:lang w:val="ar_AE" w:bidi="ar_AE"/>
        </w:rPr>
        <w:t xml:space="preserve"> قارن </w:t>
      </w:r>
      <w:hyperlink r:id="rId49">
        <w:r>
          <w:rPr>
            <w:lang w:val="ar_AE" w:bidi="ar_AE"/>
          </w:rPr>
          <w:rPr>
            <w:color w:val="0000EE"/>
            <w:u w:val="single"/>
          </w:rPr>
          <w:t>تيطس 3:1</w:t>
        </w:r>
      </w:hyperlink>
      <w:r>
        <w:rPr>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hyperlink r:id="rId50">
        <w:r>
          <w:rPr>
            <w:lang w:val="ar_AE" w:bidi="ar_AE"/>
          </w:rPr>
          <w:rPr>
            <w:color w:val="0000EE"/>
            <w:u w:val="single"/>
          </w:rPr>
          <w:t>2 تيموثاوس 2:14–3:9؛</w:t>
        </w:r>
      </w:hyperlink>
      <w:r>
        <w:rPr>
          <w:lang w:val="ar_AE" w:bidi="ar_AE"/>
        </w:rPr>
        <w:t xml:space="preserve"> </w:t>
      </w:r>
      <w:hyperlink r:id="rId40">
        <w:r>
          <w:rPr>
            <w:lang w:val="ar_AE" w:bidi="ar_AE"/>
          </w:rPr>
          <w:rPr>
            <w:color w:val="0000EE"/>
            <w:u w:val="single"/>
          </w:rPr>
          <w:t>4:14–15</w:t>
        </w:r>
      </w:hyperlink>
      <w:r>
        <w:rPr>
          <w:lang w:val="ar_AE" w:bidi="ar_AE"/>
        </w:rPr>
        <w:t>). كان بولس يرى أن خدمته قد اكتملت وكان يعلم أن موته وشيك (</w:t>
      </w:r>
      <w:hyperlink r:id="rId51">
        <w:r>
          <w:rPr>
            <w:lang w:val="ar_AE" w:bidi="ar_AE"/>
          </w:rPr>
          <w:rPr>
            <w:color w:val="0000EE"/>
            <w:u w:val="single"/>
          </w:rPr>
          <w:t>4:6–8</w:t>
        </w:r>
      </w:hyperlink>
      <w:r>
        <w:rPr>
          <w:lang w:val="ar_AE" w:bidi="ar_AE"/>
        </w:rPr>
        <w:t>)، لذلك كان يشجع تيموثاوس على مواصلة العمَل. ربما شملتْ زيارة بولس في رومَا نوعًا من التكليف الرسمي لتيموثاوس.</w:t>
      </w:r>
    </w:p>
    <w:p>
      <w:pPr>
        <w:pStyle w:val="Heading2"/>
        <w:bidi/>
      </w:pPr>
      <w:r>
        <w:rPr>
          <w:lang w:val="ar_AE" w:bidi="ar_AE"/>
        </w:rPr>
        <w:t>المعنى والرسالة</w:t>
      </w:r>
    </w:p>
    <w:p>
      <w:pPr>
        <w:bidi/>
      </w:pPr>
      <w:r>
        <w:rPr>
          <w:lang w:val="ar_AE" w:bidi="ar_AE"/>
        </w:rPr>
      </w:r>
      <w:r>
        <w:rPr>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hyperlink r:id="rId52">
        <w:r>
          <w:rPr>
            <w:lang w:val="ar_AE" w:bidi="ar_AE"/>
          </w:rPr>
          <w:rPr>
            <w:color w:val="0000EE"/>
            <w:u w:val="single"/>
          </w:rPr>
          <w:t>1:12</w:t>
        </w:r>
      </w:hyperlink>
      <w:r>
        <w:rPr>
          <w:lang w:val="ar_AE" w:bidi="ar_AE"/>
        </w:rPr>
        <w:t>) كما أنَّ المسؤولية المستمرة لخدام الله كبيرة. نقل بولس الشعلة إلى تيموثاوس وتحدَّاه لمواصلة عمله.</w:t>
      </w:r>
    </w:p>
    <w:p>
      <w:pPr>
        <w:bidi/>
      </w:pPr>
      <w:r>
        <w:rPr>
          <w:lang w:val="ar_AE" w:bidi="ar_AE"/>
        </w:rPr>
      </w:r>
      <w:r>
        <w:rPr>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