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hyperlink r:id="rId15">
        <w:r>
          <w:rPr>
            <w:lang w:val="fr_FR" w:bidi="fr_FR"/>
          </w:rPr>
          <w:rPr>
            <w:color w:val="0000EE"/>
            <w:u w:val="single"/>
          </w:rPr>
          <w:t>Exode 1–15</w:t>
        </w:r>
      </w:hyperlink>
      <w:r>
        <w:rPr>
          <w:lang w:val="fr_FR" w:bidi="fr_FR"/>
        </w:rPr>
        <w:t xml:space="preserve"> décrit la « sortie » d'Égypte par les Hébreux. Le reste du livre de l'Exode (chap. </w:t>
      </w:r>
      <w:hyperlink r:id="rId16">
        <w:r>
          <w:rPr>
            <w:lang w:val="fr_FR" w:bidi="fr_FR"/>
          </w:rPr>
          <w:rPr>
            <w:color w:val="0000EE"/>
            <w:u w:val="single"/>
          </w:rPr>
          <w:t>16–40</w:t>
        </w:r>
      </w:hyperlink>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5">
        <w:r>
          <w:rPr>
            <w:lang w:val="fr_FR" w:bidi="fr_FR"/>
          </w:rPr>
          <w:rPr>
            <w:color w:val="0000EE"/>
            <w:u w:val="single"/>
          </w:rPr>
          <w:t>1–15</w:t>
        </w:r>
      </w:hyperlink>
      <w:r>
        <w:rPr>
          <w:lang w:val="fr_FR" w:bidi="fr_FR"/>
        </w:rPr>
        <w:t xml:space="preserve">), connaître Dieu et comprendre qui il est grâce à l’alliance établie au mont Sinaï (chap. </w:t>
      </w:r>
      <w:hyperlink r:id="rId17">
        <w:r>
          <w:rPr>
            <w:lang w:val="fr_FR" w:bidi="fr_FR"/>
          </w:rPr>
          <w:rPr>
            <w:color w:val="0000EE"/>
            <w:u w:val="single"/>
          </w:rPr>
          <w:t>16–24</w:t>
        </w:r>
      </w:hyperlink>
      <w:r>
        <w:rPr>
          <w:lang w:val="fr_FR" w:bidi="fr_FR"/>
        </w:rPr>
        <w:t xml:space="preserve">) et enfin faire l’expérience de la communion avec lui grâce au Tabernacle (chap. </w:t>
      </w:r>
      <w:hyperlink r:id="rId18">
        <w:r>
          <w:rPr>
            <w:lang w:val="fr_FR" w:bidi="fr_FR"/>
          </w:rPr>
          <w:rPr>
            <w:color w:val="0000EE"/>
            <w:u w:val="single"/>
          </w:rPr>
          <w:t>25–40</w:t>
        </w:r>
      </w:hyperlink>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hyperlink r:id="rId19">
        <w:r>
          <w:rPr>
            <w:lang w:val="fr_FR" w:bidi="fr_FR"/>
          </w:rPr>
          <w:rPr>
            <w:color w:val="0000EE"/>
            <w:u w:val="single"/>
          </w:rPr>
          <w:t>Genèse-Deutéronome</w:t>
        </w:r>
      </w:hyperlink>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hyperlink r:id="rId20">
        <w:r>
          <w:rPr>
            <w:lang w:val="fr_FR" w:bidi="fr_FR"/>
          </w:rPr>
          <w:rPr>
            <w:color w:val="0000EE"/>
            <w:u w:val="single"/>
          </w:rPr>
          <w:t>1 Rois 14.25–26</w:t>
        </w:r>
      </w:hyperlink>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hyperlink r:id="rId21">
        <w:r>
          <w:rPr>
            <w:lang w:val="fr_FR" w:bidi="fr_FR"/>
          </w:rPr>
          <w:rPr>
            <w:color w:val="0000EE"/>
            <w:u w:val="single"/>
          </w:rPr>
          <w:t>Ex 1.8</w:t>
        </w:r>
      </w:hyperlink>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2">
        <w:r>
          <w:rPr>
            <w:lang w:val="fr_FR" w:bidi="fr_FR"/>
          </w:rPr>
          <w:rPr>
            <w:color w:val="0000EE"/>
            <w:u w:val="single"/>
          </w:rPr>
          <w:t>Gn 39</w:t>
        </w:r>
      </w:hyperlink>
      <w:r>
        <w:rPr>
          <w:lang w:val="fr_FR" w:bidi="fr_FR"/>
        </w:rPr>
        <w:t xml:space="preserve"> et </w:t>
      </w:r>
      <w:hyperlink r:id="rId23">
        <w:r>
          <w:rPr>
            <w:lang w:val="fr_FR" w:bidi="fr_FR"/>
          </w:rPr>
          <w:rPr>
            <w:color w:val="0000EE"/>
            <w:u w:val="single"/>
          </w:rPr>
          <w:t>46</w:t>
        </w:r>
      </w:hyperlink>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21">
        <w:r>
          <w:rPr>
            <w:lang w:val="fr_FR" w:bidi="fr_FR"/>
          </w:rPr>
          <w:rPr>
            <w:color w:val="0000EE"/>
            <w:u w:val="single"/>
          </w:rPr>
          <w:t>Exode 1.8</w:t>
        </w:r>
      </w:hyperlink>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hyperlink r:id="rId24">
        <w:r>
          <w:rPr>
            <w:lang w:val="fr_FR" w:bidi="fr_FR"/>
          </w:rPr>
          <w:rPr>
            <w:color w:val="0000EE"/>
            <w:u w:val="single"/>
          </w:rPr>
          <w:t>1 Rois 6.1</w:t>
        </w:r>
      </w:hyperlink>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5">
        <w:r>
          <w:rPr>
            <w:lang w:val="fr_FR" w:bidi="fr_FR"/>
          </w:rPr>
          <w:rPr>
            <w:color w:val="0000EE"/>
            <w:u w:val="single"/>
          </w:rPr>
          <w:t>Jg 11.26</w:t>
        </w:r>
      </w:hyperlink>
      <w:r>
        <w:rPr>
          <w:lang w:val="fr_FR" w:bidi="fr_FR"/>
        </w:rPr>
        <w:t xml:space="preserve"> et comp. avec </w:t>
      </w:r>
      <w:hyperlink r:id="rId26">
        <w:r>
          <w:rPr>
            <w:lang w:val="fr_FR" w:bidi="fr_FR"/>
          </w:rPr>
          <w:rPr>
            <w:color w:val="0000EE"/>
            <w:u w:val="single"/>
          </w:rPr>
          <w:t>Nb 21.21–35</w:t>
        </w:r>
      </w:hyperlink>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7">
        <w:r>
          <w:rPr>
            <w:lang w:val="fr_FR" w:bidi="fr_FR"/>
          </w:rPr>
          <w:rPr>
            <w:color w:val="0000EE"/>
            <w:u w:val="single"/>
          </w:rPr>
          <w:t>Ex 1.11</w:t>
        </w:r>
      </w:hyperlink>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4">
        <w:r>
          <w:rPr>
            <w:lang w:val="fr_FR" w:bidi="fr_FR"/>
          </w:rPr>
          <w:rPr>
            <w:color w:val="0000EE"/>
            <w:u w:val="single"/>
          </w:rPr>
          <w:t>1 Rois 6.1</w:t>
        </w:r>
      </w:hyperlink>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hyperlink r:id="rId28">
        <w:r>
          <w:rPr>
            <w:lang w:val="fr_FR" w:bidi="fr_FR"/>
          </w:rPr>
          <w:rPr>
            <w:color w:val="0000EE"/>
            <w:u w:val="single"/>
          </w:rPr>
          <w:t>Genèse 12.4</w:t>
        </w:r>
      </w:hyperlink>
      <w:r>
        <w:rPr>
          <w:lang w:val="fr_FR" w:bidi="fr_FR"/>
        </w:rPr>
        <w:t xml:space="preserve"> ; </w:t>
      </w:r>
      <w:hyperlink r:id="rId29">
        <w:r>
          <w:rPr>
            <w:lang w:val="fr_FR" w:bidi="fr_FR"/>
          </w:rPr>
          <w:rPr>
            <w:color w:val="0000EE"/>
            <w:u w:val="single"/>
          </w:rPr>
          <w:t>21.5</w:t>
        </w:r>
      </w:hyperlink>
      <w:r>
        <w:rPr>
          <w:lang w:val="fr_FR" w:bidi="fr_FR"/>
        </w:rPr>
        <w:t xml:space="preserve"> ; </w:t>
      </w:r>
      <w:hyperlink r:id="rId30">
        <w:r>
          <w:rPr>
            <w:lang w:val="fr_FR" w:bidi="fr_FR"/>
          </w:rPr>
          <w:rPr>
            <w:color w:val="0000EE"/>
            <w:u w:val="single"/>
          </w:rPr>
          <w:t>25.26</w:t>
        </w:r>
      </w:hyperlink>
      <w:r>
        <w:rPr>
          <w:lang w:val="fr_FR" w:bidi="fr_FR"/>
        </w:rPr>
        <w:t xml:space="preserve"> et </w:t>
      </w:r>
      <w:hyperlink r:id="rId31">
        <w:r>
          <w:rPr>
            <w:lang w:val="fr_FR" w:bidi="fr_FR"/>
          </w:rPr>
          <w:rPr>
            <w:color w:val="0000EE"/>
            <w:u w:val="single"/>
          </w:rPr>
          <w:t>47.9</w:t>
        </w:r>
      </w:hyperlink>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hyperlink r:id="rId32">
        <w:r>
          <w:rPr>
            <w:lang w:val="fr_FR" w:bidi="fr_FR"/>
          </w:rPr>
          <w:rPr>
            <w:color w:val="0000EE"/>
            <w:u w:val="single"/>
          </w:rPr>
          <w:t>Exode 12.40</w:t>
        </w:r>
      </w:hyperlink>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2">
        <w:r>
          <w:rPr>
            <w:lang w:val="fr_FR" w:bidi="fr_FR"/>
          </w:rPr>
          <w:rPr>
            <w:color w:val="0000EE"/>
            <w:u w:val="single"/>
          </w:rPr>
          <w:t>Exode 12.40</w:t>
        </w:r>
      </w:hyperlink>
      <w:r>
        <w:rPr>
          <w:lang w:val="fr_FR" w:bidi="fr_FR"/>
        </w:rPr>
        <w:t xml:space="preserve"> inclut le temps que les Israélites ont passé en Canaan et en Égypte (une chronologie apparemment suivie par Paul ; voir </w:t>
      </w:r>
      <w:hyperlink r:id="rId33">
        <w:r>
          <w:rPr>
            <w:lang w:val="fr_FR" w:bidi="fr_FR"/>
          </w:rPr>
          <w:rPr>
            <w:color w:val="0000EE"/>
            <w:u w:val="single"/>
          </w:rPr>
          <w:t>Ga 3.17</w:t>
        </w:r>
      </w:hyperlink>
      <w:r>
        <w:rPr>
          <w:lang w:val="fr_FR" w:bidi="fr_FR"/>
        </w:rPr>
        <w:t>). Cette chronologie réduirait le temps passé en Égypte à 215 ans. Diverses affirmations bibliques selon lesquelles Israël a passé 400 ans ou quatre générations en Égypte (</w:t>
      </w:r>
      <w:hyperlink r:id="rId34">
        <w:r>
          <w:rPr>
            <w:lang w:val="fr_FR" w:bidi="fr_FR"/>
          </w:rPr>
          <w:rPr>
            <w:color w:val="0000EE"/>
            <w:u w:val="single"/>
          </w:rPr>
          <w:t>Gn 15.13–16</w:t>
        </w:r>
      </w:hyperlink>
      <w:r>
        <w:rPr>
          <w:lang w:val="fr_FR" w:bidi="fr_FR"/>
        </w:rPr>
        <w:t xml:space="preserve"> ; comp. avec </w:t>
      </w:r>
      <w:hyperlink r:id="rId35">
        <w:r>
          <w:rPr>
            <w:lang w:val="fr_FR" w:bidi="fr_FR"/>
          </w:rPr>
          <w:rPr>
            <w:color w:val="0000EE"/>
            <w:u w:val="single"/>
          </w:rPr>
          <w:t>Ex 6.16–20</w:t>
        </w:r>
      </w:hyperlink>
      <w:r>
        <w:rPr>
          <w:lang w:val="fr_FR" w:bidi="fr_FR"/>
        </w:rPr>
        <w:t xml:space="preserve"> ; </w:t>
      </w:r>
      <w:hyperlink r:id="rId36">
        <w:r>
          <w:rPr>
            <w:lang w:val="fr_FR" w:bidi="fr_FR"/>
          </w:rPr>
          <w:rPr>
            <w:color w:val="0000EE"/>
            <w:u w:val="single"/>
          </w:rPr>
          <w:t>Nb 3.17–19</w:t>
        </w:r>
      </w:hyperlink>
      <w:r>
        <w:rPr>
          <w:lang w:val="fr_FR" w:bidi="fr_FR"/>
        </w:rPr>
        <w:t xml:space="preserve"> ; </w:t>
      </w:r>
      <w:hyperlink r:id="rId37">
        <w:r>
          <w:rPr>
            <w:lang w:val="fr_FR" w:bidi="fr_FR"/>
          </w:rPr>
          <w:rPr>
            <w:color w:val="0000EE"/>
            <w:u w:val="single"/>
          </w:rPr>
          <w:t>26.58–59</w:t>
        </w:r>
      </w:hyperlink>
      <w:r>
        <w:rPr>
          <w:lang w:val="fr_FR" w:bidi="fr_FR"/>
        </w:rPr>
        <w:t xml:space="preserve"> ; </w:t>
      </w:r>
      <w:hyperlink r:id="rId38">
        <w:r>
          <w:rPr>
            <w:lang w:val="fr_FR" w:bidi="fr_FR"/>
          </w:rPr>
          <w:rPr>
            <w:color w:val="0000EE"/>
            <w:u w:val="single"/>
          </w:rPr>
          <w:t>1Ch 6.1–3</w:t>
        </w:r>
      </w:hyperlink>
      <w:r>
        <w:rPr>
          <w:lang w:val="fr_FR" w:bidi="fr_FR"/>
        </w:rPr>
        <w:t xml:space="preserve"> ; </w:t>
      </w:r>
      <w:hyperlink r:id="rId39">
        <w:r>
          <w:rPr>
            <w:lang w:val="fr_FR" w:bidi="fr_FR"/>
          </w:rPr>
          <w:rPr>
            <w:color w:val="0000EE"/>
            <w:u w:val="single"/>
          </w:rPr>
          <w:t>Ac 7.6</w:t>
        </w:r>
      </w:hyperlink>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hyperlink r:id="rId40">
        <w:r>
          <w:rPr>
            <w:lang w:val="fr_FR" w:bidi="fr_FR"/>
          </w:rPr>
          <w:rPr>
            <w:color w:val="0000EE"/>
            <w:u w:val="single"/>
          </w:rPr>
          <w:t>Gn 1.27–28</w:t>
        </w:r>
      </w:hyperlink>
      <w:r>
        <w:rPr>
          <w:lang w:val="fr_FR" w:bidi="fr_FR"/>
        </w:rPr>
        <w:t>), mais une malédiction s'est abattue sur la création. Les êtres humains étaient devenus profondément corrompus (</w:t>
      </w:r>
      <w:hyperlink r:id="rId41">
        <w:r>
          <w:rPr>
            <w:lang w:val="fr_FR" w:bidi="fr_FR"/>
          </w:rPr>
          <w:rPr>
            <w:color w:val="0000EE"/>
            <w:u w:val="single"/>
          </w:rPr>
          <w:t>Gn 6.5</w:t>
        </w:r>
      </w:hyperlink>
      <w:r>
        <w:rPr>
          <w:lang w:val="fr_FR" w:bidi="fr_FR"/>
        </w:rPr>
        <w:t>) et s'étaient éloignés de leur Créateur (</w:t>
      </w:r>
      <w:hyperlink r:id="rId42">
        <w:r>
          <w:rPr>
            <w:lang w:val="fr_FR" w:bidi="fr_FR"/>
          </w:rPr>
          <w:rPr>
            <w:color w:val="0000EE"/>
            <w:u w:val="single"/>
          </w:rPr>
          <w:t>Gn 3.23–24</w:t>
        </w:r>
      </w:hyperlink>
      <w:r>
        <w:rPr>
          <w:lang w:val="fr_FR" w:bidi="fr_FR"/>
        </w:rPr>
        <w:t>) et les uns des autres (</w:t>
      </w:r>
      <w:hyperlink r:id="rId43">
        <w:r>
          <w:rPr>
            <w:lang w:val="fr_FR" w:bidi="fr_FR"/>
          </w:rPr>
          <w:rPr>
            <w:color w:val="0000EE"/>
            <w:u w:val="single"/>
          </w:rPr>
          <w:t>Gn 4.14</w:t>
        </w:r>
      </w:hyperlink>
      <w:r>
        <w:rPr>
          <w:lang w:val="fr_FR" w:bidi="fr_FR"/>
        </w:rPr>
        <w:t>). La mort, la violence et le désordre étaient devenus omniprésents (</w:t>
      </w:r>
      <w:hyperlink r:id="rId44">
        <w:r>
          <w:rPr>
            <w:lang w:val="fr_FR" w:bidi="fr_FR"/>
          </w:rPr>
          <w:rPr>
            <w:color w:val="0000EE"/>
            <w:u w:val="single"/>
          </w:rPr>
          <w:t>Gn 4.8</w:t>
        </w:r>
      </w:hyperlink>
      <w:r>
        <w:rPr>
          <w:lang w:val="fr_FR" w:bidi="fr_FR"/>
        </w:rPr>
        <w:t xml:space="preserve">, </w:t>
      </w:r>
      <w:hyperlink r:id="rId45">
        <w:r>
          <w:rPr>
            <w:lang w:val="fr_FR" w:bidi="fr_FR"/>
          </w:rPr>
          <w:rPr>
            <w:color w:val="0000EE"/>
            <w:u w:val="single"/>
          </w:rPr>
          <w:t>23–24</w:t>
        </w:r>
      </w:hyperlink>
      <w:r>
        <w:rPr>
          <w:lang w:val="fr_FR" w:bidi="fr_FR"/>
        </w:rPr>
        <w:t xml:space="preserve"> ; </w:t>
      </w:r>
      <w:hyperlink r:id="rId46">
        <w:r>
          <w:rPr>
            <w:lang w:val="fr_FR" w:bidi="fr_FR"/>
          </w:rPr>
          <w:rPr>
            <w:color w:val="0000EE"/>
            <w:u w:val="single"/>
          </w:rPr>
          <w:t>11.9</w:t>
        </w:r>
      </w:hyperlink>
      <w:r>
        <w:rPr>
          <w:lang w:val="fr_FR" w:bidi="fr_FR"/>
        </w:rPr>
        <w:t>). Existait-il un moyen de revenir à la bénédiction que Dieu avait initialement prévue ?</w:t>
      </w:r>
    </w:p>
    <w:p>
      <w:pPr/>
      <w:r>
        <w:rPr>
          <w:lang w:val="fr_FR" w:bidi="fr_FR"/>
        </w:rPr>
      </w:r>
      <w:r>
        <w:rPr>
          <w:lang w:val="fr_FR" w:bidi="fr_FR"/>
        </w:rPr>
        <w:t xml:space="preserve">Dans </w:t>
      </w:r>
      <w:hyperlink r:id="rId47">
        <w:r>
          <w:rPr>
            <w:lang w:val="fr_FR" w:bidi="fr_FR"/>
          </w:rPr>
          <w:rPr>
            <w:color w:val="0000EE"/>
            <w:u w:val="single"/>
          </w:rPr>
          <w:t>Genèse 12–50</w:t>
        </w:r>
      </w:hyperlink>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8">
        <w:r>
          <w:rPr>
            <w:lang w:val="fr_FR" w:bidi="fr_FR"/>
          </w:rPr>
          <w:rPr>
            <w:color w:val="0000EE"/>
            <w:u w:val="single"/>
          </w:rPr>
          <w:t>Gn 12.1–3</w:t>
        </w:r>
      </w:hyperlink>
      <w:r>
        <w:rPr>
          <w:lang w:val="fr_FR" w:bidi="fr_FR"/>
        </w:rPr>
        <w:t>). Abraham a cru Dieu malgré le fait que sa femme semblait désespérément stérile (</w:t>
      </w:r>
      <w:hyperlink r:id="rId49">
        <w:r>
          <w:rPr>
            <w:lang w:val="fr_FR" w:bidi="fr_FR"/>
          </w:rPr>
          <w:rPr>
            <w:color w:val="0000EE"/>
            <w:u w:val="single"/>
          </w:rPr>
          <w:t>Gn 15.6</w:t>
        </w:r>
      </w:hyperlink>
      <w:r>
        <w:rPr>
          <w:lang w:val="fr_FR" w:bidi="fr_FR"/>
        </w:rPr>
        <w:t>), et ce dernier a bientôt commencé à accomplir ses promesses (</w:t>
      </w:r>
      <w:hyperlink r:id="rId50">
        <w:r>
          <w:rPr>
            <w:lang w:val="fr_FR" w:bidi="fr_FR"/>
          </w:rPr>
          <w:rPr>
            <w:color w:val="0000EE"/>
            <w:u w:val="single"/>
          </w:rPr>
          <w:t>Gn 21.1–7</w:t>
        </w:r>
      </w:hyperlink>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51">
        <w:r>
          <w:rPr>
            <w:lang w:val="fr_FR" w:bidi="fr_FR"/>
          </w:rPr>
          <w:rPr>
            <w:color w:val="0000EE"/>
            <w:u w:val="single"/>
          </w:rPr>
          <w:t>Gn 23</w:t>
        </w:r>
      </w:hyperlink>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2">
        <w:r>
          <w:rPr>
            <w:lang w:val="fr_FR" w:bidi="fr_FR"/>
          </w:rPr>
          <w:rPr>
            <w:color w:val="0000EE"/>
            <w:u w:val="single"/>
          </w:rPr>
          <w:t>18.11</w:t>
        </w:r>
      </w:hyperlink>
      <w:r>
        <w:rPr>
          <w:lang w:val="fr_FR" w:bidi="fr_FR"/>
        </w:rPr>
        <w:t>). Le livre de l'Exode révèle que c'est le plus grand être existant (</w:t>
      </w:r>
      <w:hyperlink r:id="rId53">
        <w:r>
          <w:rPr>
            <w:lang w:val="fr_FR" w:bidi="fr_FR"/>
          </w:rPr>
          <w:rPr>
            <w:color w:val="0000EE"/>
            <w:u w:val="single"/>
          </w:rPr>
          <w:t>3.5–6</w:t>
        </w:r>
      </w:hyperlink>
      <w:r>
        <w:rPr>
          <w:lang w:val="fr_FR" w:bidi="fr_FR"/>
        </w:rPr>
        <w:t xml:space="preserve">, </w:t>
      </w:r>
      <w:hyperlink r:id="rId54">
        <w:r>
          <w:rPr>
            <w:lang w:val="fr_FR" w:bidi="fr_FR"/>
          </w:rPr>
          <w:rPr>
            <w:color w:val="0000EE"/>
            <w:u w:val="single"/>
          </w:rPr>
          <w:t>14–15</w:t>
        </w:r>
      </w:hyperlink>
      <w:r>
        <w:rPr>
          <w:lang w:val="fr_FR" w:bidi="fr_FR"/>
        </w:rPr>
        <w:t xml:space="preserve"> ; </w:t>
      </w:r>
      <w:hyperlink r:id="rId55">
        <w:r>
          <w:rPr>
            <w:lang w:val="fr_FR" w:bidi="fr_FR"/>
          </w:rPr>
          <w:rPr>
            <w:color w:val="0000EE"/>
            <w:u w:val="single"/>
          </w:rPr>
          <w:t>6.3</w:t>
        </w:r>
      </w:hyperlink>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6">
        <w:r>
          <w:rPr>
            <w:lang w:val="fr_FR" w:bidi="fr_FR"/>
          </w:rPr>
          <w:rPr>
            <w:color w:val="0000EE"/>
            <w:u w:val="single"/>
          </w:rPr>
          <w:t>34.5–6</w:t>
        </w:r>
      </w:hyperlink>
      <w:r>
        <w:rPr>
          <w:lang w:val="fr_FR" w:bidi="fr_FR"/>
        </w:rPr>
        <w:t>).</w:t>
      </w:r>
    </w:p>
    <w:p>
      <w:pPr/>
      <w:r>
        <w:rPr>
          <w:lang w:val="fr_FR" w:bidi="fr_FR"/>
        </w:rPr>
      </w:r>
      <w:r>
        <w:rPr>
          <w:lang w:val="fr_FR" w:bidi="fr_FR"/>
        </w:rPr>
        <w:t>Il enseigne à son peuple qui il est et quelle devrait être sa relation avec lui à travers une alliance (</w:t>
      </w:r>
      <w:hyperlink r:id="rId57">
        <w:r>
          <w:rPr>
            <w:lang w:val="fr_FR" w:bidi="fr_FR"/>
          </w:rPr>
          <w:rPr>
            <w:color w:val="0000EE"/>
            <w:u w:val="single"/>
          </w:rPr>
          <w:t>Ex 19–23</w:t>
        </w:r>
      </w:hyperlink>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8">
        <w:r>
          <w:rPr>
            <w:lang w:val="fr_FR" w:bidi="fr_FR"/>
          </w:rPr>
          <w:rPr>
            <w:color w:val="0000EE"/>
            <w:u w:val="single"/>
          </w:rPr>
          <w:t>20.3–17</w:t>
        </w:r>
      </w:hyperlink>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hyperlink r:id="rId18">
        <w:r>
          <w:rPr>
            <w:lang w:val="fr_FR" w:bidi="fr_FR"/>
          </w:rPr>
          <w:rPr>
            <w:color w:val="0000EE"/>
            <w:u w:val="single"/>
          </w:rPr>
          <w:t>25–40</w:t>
        </w:r>
      </w:hyperlink>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hyperlink r:id="rId59">
        <w:r>
          <w:rPr>
            <w:lang w:val="fr_FR" w:bidi="fr_FR"/>
          </w:rPr>
          <w:rPr>
            <w:color w:val="0000EE"/>
            <w:u w:val="single"/>
          </w:rPr>
          <w:t>40.34–38</w:t>
        </w:r>
      </w:hyperlink>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