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Deuteronomy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w:t>
      </w:r>
      <w:r>
        <w:rPr>
          <w:lang w:val="fr_FR" w:bidi="fr_FR"/>
        </w:rPr>
      </w:r>
    </w:p>
    <w:p>
      <w:pPr/>
      <w:r>
        <w:rPr>
          <w:lang w:val="fr_FR" w:bidi="fr_FR"/>
        </w:rPr>
      </w:r>
      <w:r>
        <w:rPr>
          <w:lang w:val="fr_FR" w:bidi="fr_FR"/>
        </w:rPr>
        <w:t>Dieu révèle pour la première fois à Moïse la « constitution » nationale d'Israël au mont Sinaï (</w:t>
      </w:r>
      <w:hyperlink r:id="rId15">
        <w:r>
          <w:rPr>
            <w:lang w:val="fr_FR" w:bidi="fr_FR"/>
          </w:rPr>
          <w:rPr>
            <w:color w:val="0000EE"/>
            <w:u w:val="single"/>
          </w:rPr>
          <w:t>Ex 20–23</w:t>
        </w:r>
      </w:hyperlink>
      <w:r>
        <w:rPr>
          <w:lang w:val="fr_FR" w:bidi="fr_FR"/>
        </w:rP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2"/>
      </w:pPr>
      <w:r>
        <w:rPr>
          <w:lang w:val="fr_FR" w:bidi="fr_FR"/>
        </w:rPr>
        <w:t>Contexte</w:t>
      </w:r>
    </w:p>
    <w:p>
      <w:pPr/>
      <w:r>
        <w:rPr>
          <w:lang w:val="fr_FR" w:bidi="fr_FR"/>
        </w:rPr>
      </w:r>
      <w:r>
        <w:rPr>
          <w:lang w:val="fr_FR" w:bidi="fr_FR"/>
        </w:rP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pPr/>
      <w:r>
        <w:rPr>
          <w:lang w:val="fr_FR" w:bidi="fr_FR"/>
        </w:rPr>
      </w:r>
      <w:r>
        <w:rPr>
          <w:lang w:val="fr_FR" w:bidi="fr_FR"/>
        </w:rP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hyperlink r:id="rId16">
        <w:r>
          <w:rPr>
            <w:lang w:val="fr_FR" w:bidi="fr_FR"/>
          </w:rPr>
          <w:rPr>
            <w:color w:val="0000EE"/>
            <w:u w:val="single"/>
          </w:rPr>
          <w:t>Ex 19–24</w:t>
        </w:r>
      </w:hyperlink>
      <w:r>
        <w:rPr>
          <w:lang w:val="fr_FR" w:bidi="fr_FR"/>
        </w:rPr>
        <w:t>). Maintenant, en prévision d'un Israël vivant en tant que communauté établie, l'alliance originale doit être rétablie et étendue. Le livre du Deutéronome correspond à cette reformulation.</w:t>
      </w:r>
    </w:p>
    <w:p>
      <w:pPr>
        <w:pStyle w:val="Heading2"/>
      </w:pPr>
      <w:r>
        <w:rPr>
          <w:lang w:val="fr_FR" w:bidi="fr_FR"/>
        </w:rPr>
        <w:t>Résumé</w:t>
      </w:r>
    </w:p>
    <w:p>
      <w:pPr/>
      <w:r>
        <w:rPr>
          <w:lang w:val="fr_FR" w:bidi="fr_FR"/>
        </w:rPr>
      </w:r>
      <w:r>
        <w:rPr>
          <w:lang w:val="fr_FR" w:bidi="fr_FR"/>
        </w:rP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pPr/>
      <w:r>
        <w:rPr>
          <w:lang w:val="fr_FR" w:bidi="fr_FR"/>
        </w:rPr>
      </w:r>
      <w:r>
        <w:rPr>
          <w:lang w:val="fr_FR" w:bidi="fr_FR"/>
        </w:rP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pPr/>
      <w:r>
        <w:rPr>
          <w:lang w:val="fr_FR" w:bidi="fr_FR"/>
        </w:rPr>
      </w:r>
      <w:r>
        <w:rPr>
          <w:lang w:val="fr_FR" w:bidi="fr_FR"/>
        </w:rPr>
        <w:t>Les grandes lignes suivantes reflètent l'analyse du Deutéronome en tant que document d'alliance :</w:t>
      </w:r>
    </w:p>
    <w:p>
      <w:pPr>
        <w:pStyle w:val="ListBullet"/>
        <w:spacing w:line="240" w:lineRule="auto"/>
        <w:ind w:left="720"/>
      </w:pPr>
      <w:r>
        <w:rPr>
          <w:lang w:val="fr_FR" w:bidi="fr_FR"/>
        </w:rPr>
      </w:r>
      <w:hyperlink r:id="rId17">
        <w:r>
          <w:rPr>
            <w:lang w:val="fr_FR" w:bidi="fr_FR"/>
          </w:rPr>
          <w:rPr>
            <w:color w:val="0000EE"/>
            <w:u w:val="single"/>
          </w:rPr>
          <w:t>1.1–5</w:t>
        </w:r>
      </w:hyperlink>
      <w:r>
        <w:rPr>
          <w:lang w:val="fr_FR" w:bidi="fr_FR"/>
        </w:rPr>
        <w:t xml:space="preserve"> Préambule de l'alliance</w:t>
      </w:r>
    </w:p>
    <w:p>
      <w:pPr>
        <w:pStyle w:val="ListBullet"/>
        <w:spacing w:line="240" w:lineRule="auto"/>
        <w:ind w:left="720"/>
      </w:pPr>
      <w:r>
        <w:rPr>
          <w:lang w:val="fr_FR" w:bidi="fr_FR"/>
        </w:rPr>
      </w:r>
      <w:hyperlink r:id="rId18">
        <w:r>
          <w:rPr>
            <w:lang w:val="fr_FR" w:bidi="fr_FR"/>
          </w:rPr>
          <w:rPr>
            <w:color w:val="0000EE"/>
            <w:u w:val="single"/>
          </w:rPr>
          <w:t>1.6–4.49</w:t>
        </w:r>
      </w:hyperlink>
      <w:r>
        <w:rPr>
          <w:lang w:val="fr_FR" w:bidi="fr_FR"/>
        </w:rPr>
        <w:t xml:space="preserve"> Prologue historique</w:t>
      </w:r>
    </w:p>
    <w:p>
      <w:pPr>
        <w:pStyle w:val="ListBullet"/>
        <w:spacing w:line="240" w:lineRule="auto"/>
        <w:ind w:left="720"/>
      </w:pPr>
      <w:r>
        <w:rPr>
          <w:lang w:val="fr_FR" w:bidi="fr_FR"/>
        </w:rPr>
      </w:r>
      <w:hyperlink r:id="rId19">
        <w:r>
          <w:rPr>
            <w:lang w:val="fr_FR" w:bidi="fr_FR"/>
          </w:rPr>
          <w:rPr>
            <w:color w:val="0000EE"/>
            <w:u w:val="single"/>
          </w:rPr>
          <w:t>5.1–26.15</w:t>
        </w:r>
      </w:hyperlink>
      <w:r>
        <w:rPr>
          <w:lang w:val="fr_FR" w:bidi="fr_FR"/>
        </w:rPr>
        <w:t xml:space="preserve"> Stipulations de l'alliance</w:t>
      </w:r>
    </w:p>
    <w:p>
      <w:pPr>
        <w:pStyle w:val="ListBullet"/>
        <w:spacing w:line="240" w:lineRule="auto"/>
        <w:ind w:left="720"/>
      </w:pPr>
      <w:r>
        <w:rPr>
          <w:lang w:val="fr_FR" w:bidi="fr_FR"/>
        </w:rPr>
      </w:r>
      <w:hyperlink r:id="rId20">
        <w:r>
          <w:rPr>
            <w:lang w:val="fr_FR" w:bidi="fr_FR"/>
          </w:rPr>
          <w:rPr>
            <w:color w:val="0000EE"/>
            <w:u w:val="single"/>
          </w:rPr>
          <w:t>26.16–29.1</w:t>
        </w:r>
      </w:hyperlink>
      <w:r>
        <w:rPr>
          <w:lang w:val="fr_FR" w:bidi="fr_FR"/>
        </w:rPr>
        <w:t xml:space="preserve"> Bénédictions pour l'obéissance et malédictions pour la désobéissance</w:t>
      </w:r>
    </w:p>
    <w:p>
      <w:pPr>
        <w:pStyle w:val="ListBullet"/>
        <w:spacing w:line="240" w:lineRule="auto"/>
        <w:ind w:left="720"/>
      </w:pPr>
      <w:r>
        <w:rPr>
          <w:lang w:val="fr_FR" w:bidi="fr_FR"/>
        </w:rPr>
      </w:r>
      <w:hyperlink r:id="rId21">
        <w:r>
          <w:rPr>
            <w:lang w:val="fr_FR" w:bidi="fr_FR"/>
          </w:rPr>
          <w:rPr>
            <w:color w:val="0000EE"/>
            <w:u w:val="single"/>
          </w:rPr>
          <w:t>29.2–30.20</w:t>
        </w:r>
      </w:hyperlink>
      <w:r>
        <w:rPr>
          <w:lang w:val="fr_FR" w:bidi="fr_FR"/>
        </w:rPr>
        <w:t xml:space="preserve"> Examen de l'alliance et du choix entre la vie et la mort</w:t>
      </w:r>
    </w:p>
    <w:p>
      <w:pPr>
        <w:pStyle w:val="ListBullet"/>
        <w:spacing w:line="240" w:lineRule="auto"/>
        <w:ind w:left="720"/>
      </w:pPr>
      <w:r>
        <w:rPr>
          <w:lang w:val="fr_FR" w:bidi="fr_FR"/>
        </w:rPr>
      </w:r>
      <w:hyperlink r:id="rId22">
        <w:r>
          <w:rPr>
            <w:lang w:val="fr_FR" w:bidi="fr_FR"/>
          </w:rPr>
          <w:rPr>
            <w:color w:val="0000EE"/>
            <w:u w:val="single"/>
          </w:rPr>
          <w:t>31.1–29</w:t>
        </w:r>
      </w:hyperlink>
      <w:r>
        <w:rPr>
          <w:lang w:val="fr_FR" w:bidi="fr_FR"/>
        </w:rPr>
        <w:t xml:space="preserve"> Dépôt du texte de l'alliance</w:t>
      </w:r>
    </w:p>
    <w:p>
      <w:pPr>
        <w:pStyle w:val="ListBullet"/>
        <w:spacing w:line="240" w:lineRule="auto"/>
        <w:ind w:left="720"/>
      </w:pPr>
      <w:r>
        <w:rPr>
          <w:lang w:val="fr_FR" w:bidi="fr_FR"/>
        </w:rPr>
      </w:r>
      <w:hyperlink r:id="rId23">
        <w:r>
          <w:rPr>
            <w:lang w:val="fr_FR" w:bidi="fr_FR"/>
          </w:rPr>
          <w:rPr>
            <w:color w:val="0000EE"/>
            <w:u w:val="single"/>
          </w:rPr>
          <w:t>31.30–32.43</w:t>
        </w:r>
      </w:hyperlink>
      <w:r>
        <w:rPr>
          <w:lang w:val="fr_FR" w:bidi="fr_FR"/>
        </w:rPr>
        <w:t xml:space="preserve"> Témoins de l'alliance</w:t>
      </w:r>
    </w:p>
    <w:p>
      <w:pPr/>
      <w:r>
        <w:rPr>
          <w:lang w:val="fr_FR" w:bidi="fr_FR"/>
        </w:rPr>
      </w:r>
      <w:r>
        <w:rPr>
          <w:lang w:val="fr_FR" w:bidi="fr_FR"/>
        </w:rPr>
        <w:t>Les grandes lignes intégrées dans le texte biblique reflètent la structure du Deutéronome à la fois en tant que texte d'alliance et en tant que discours d'adieu communiqué dans une série de sermons.</w:t>
      </w:r>
    </w:p>
    <w:p>
      <w:pPr>
        <w:pStyle w:val="Heading2"/>
      </w:pPr>
      <w:r>
        <w:rPr>
          <w:lang w:val="fr_FR" w:bidi="fr_FR"/>
        </w:rPr>
        <w:t>Auteur</w:t>
      </w:r>
    </w:p>
    <w:p>
      <w:pPr/>
      <w:r>
        <w:rPr>
          <w:lang w:val="fr_FR" w:bidi="fr_FR"/>
        </w:rPr>
      </w:r>
      <w:r>
        <w:rPr>
          <w:lang w:val="fr_FR" w:bidi="fr_FR"/>
        </w:rPr>
        <w:t xml:space="preserve">Une tradition juive et chrétienne de longue date soutient que Moïse a écrit le Deutéronome. L'Ancien Testament et le Nouveau reconnaissent tous deux sa paternité littéraire (voir </w:t>
      </w:r>
      <w:hyperlink r:id="rId24">
        <w:r>
          <w:rPr>
            <w:lang w:val="fr_FR" w:bidi="fr_FR"/>
          </w:rPr>
          <w:rPr>
            <w:color w:val="0000EE"/>
            <w:u w:val="single"/>
          </w:rPr>
          <w:t>1R 2.3</w:t>
        </w:r>
      </w:hyperlink>
      <w:r>
        <w:rPr>
          <w:lang w:val="fr_FR" w:bidi="fr_FR"/>
        </w:rPr>
        <w:t xml:space="preserve"> ; </w:t>
      </w:r>
      <w:hyperlink r:id="rId25">
        <w:r>
          <w:rPr>
            <w:lang w:val="fr_FR" w:bidi="fr_FR"/>
          </w:rPr>
          <w:rPr>
            <w:color w:val="0000EE"/>
            <w:u w:val="single"/>
          </w:rPr>
          <w:t>2R 14.6</w:t>
        </w:r>
      </w:hyperlink>
      <w:r>
        <w:rPr>
          <w:lang w:val="fr_FR" w:bidi="fr_FR"/>
        </w:rPr>
        <w:t xml:space="preserve"> ; </w:t>
      </w:r>
      <w:hyperlink r:id="rId26">
        <w:r>
          <w:rPr>
            <w:lang w:val="fr_FR" w:bidi="fr_FR"/>
          </w:rPr>
          <w:rPr>
            <w:color w:val="0000EE"/>
            <w:u w:val="single"/>
          </w:rPr>
          <w:t>2Ch 25.4</w:t>
        </w:r>
      </w:hyperlink>
      <w:r>
        <w:rPr>
          <w:lang w:val="fr_FR" w:bidi="fr_FR"/>
        </w:rPr>
        <w:t xml:space="preserve"> ; </w:t>
      </w:r>
      <w:hyperlink r:id="rId27">
        <w:r>
          <w:rPr>
            <w:lang w:val="fr_FR" w:bidi="fr_FR"/>
          </w:rPr>
          <w:rPr>
            <w:color w:val="0000EE"/>
            <w:u w:val="single"/>
          </w:rPr>
          <w:t>Esd 3.2</w:t>
        </w:r>
      </w:hyperlink>
      <w:r>
        <w:rPr>
          <w:lang w:val="fr_FR" w:bidi="fr_FR"/>
        </w:rPr>
        <w:t xml:space="preserve"> ; </w:t>
      </w:r>
      <w:hyperlink r:id="rId28">
        <w:r>
          <w:rPr>
            <w:lang w:val="fr_FR" w:bidi="fr_FR"/>
          </w:rPr>
          <w:rPr>
            <w:color w:val="0000EE"/>
            <w:u w:val="single"/>
          </w:rPr>
          <w:t>Mt 19.7</w:t>
        </w:r>
      </w:hyperlink>
      <w:r>
        <w:rPr>
          <w:lang w:val="fr_FR" w:bidi="fr_FR"/>
        </w:rPr>
        <w:t xml:space="preserve"> ; </w:t>
      </w:r>
      <w:hyperlink r:id="rId29">
        <w:r>
          <w:rPr>
            <w:lang w:val="fr_FR" w:bidi="fr_FR"/>
          </w:rPr>
          <w:rPr>
            <w:color w:val="0000EE"/>
            <w:u w:val="single"/>
          </w:rPr>
          <w:t xml:space="preserve">Mc 12.19 </w:t>
        </w:r>
      </w:hyperlink>
      <w:r>
        <w:rPr>
          <w:lang w:val="fr_FR" w:bidi="fr_FR"/>
        </w:rPr>
        <w:t xml:space="preserve"> ; </w:t>
      </w:r>
      <w:hyperlink r:id="rId30">
        <w:r>
          <w:rPr>
            <w:lang w:val="fr_FR" w:bidi="fr_FR"/>
          </w:rPr>
          <w:rPr>
            <w:color w:val="0000EE"/>
            <w:u w:val="single"/>
          </w:rPr>
          <w:t>Lc 20.28</w:t>
        </w:r>
      </w:hyperlink>
      <w:r>
        <w:rPr>
          <w:lang w:val="fr_FR" w:bidi="fr_FR"/>
        </w:rPr>
        <w:t xml:space="preserve"> ; </w:t>
      </w:r>
      <w:hyperlink r:id="rId31">
        <w:r>
          <w:rPr>
            <w:lang w:val="fr_FR" w:bidi="fr_FR"/>
          </w:rPr>
          <w:rPr>
            <w:color w:val="0000EE"/>
            <w:u w:val="single"/>
          </w:rPr>
          <w:t>Ac 3.22–23</w:t>
        </w:r>
      </w:hyperlink>
      <w:r>
        <w:rPr>
          <w:lang w:val="fr_FR" w:bidi="fr_FR"/>
        </w:rPr>
        <w:t xml:space="preserve"> ; </w:t>
      </w:r>
      <w:hyperlink r:id="rId32">
        <w:r>
          <w:rPr>
            <w:lang w:val="fr_FR" w:bidi="fr_FR"/>
          </w:rPr>
          <w:rPr>
            <w:color w:val="0000EE"/>
            <w:u w:val="single"/>
          </w:rPr>
          <w:t>Rm 10.19</w:t>
        </w:r>
      </w:hyperlink>
      <w:r>
        <w:rPr>
          <w:lang w:val="fr_FR" w:bidi="fr_FR"/>
        </w:rPr>
        <w:t xml:space="preserve"> ; </w:t>
      </w:r>
      <w:hyperlink r:id="rId33">
        <w:r>
          <w:rPr>
            <w:lang w:val="fr_FR" w:bidi="fr_FR"/>
          </w:rPr>
          <w:rPr>
            <w:color w:val="0000EE"/>
            <w:u w:val="single"/>
          </w:rPr>
          <w:t>1Co 9.9</w:t>
        </w:r>
      </w:hyperlink>
      <w:r>
        <w:rPr>
          <w:lang w:val="fr_FR" w:bidi="fr_FR"/>
        </w:rPr>
        <w:t>).</w:t>
      </w:r>
    </w:p>
    <w:p>
      <w:pPr/>
      <w:r>
        <w:rPr>
          <w:lang w:val="fr_FR" w:bidi="fr_FR"/>
        </w:rPr>
      </w:r>
      <w:r>
        <w:rPr>
          <w:lang w:val="fr_FR" w:bidi="fr_FR"/>
        </w:rPr>
        <w:t xml:space="preserve">Cependant, au cours des deux derniers siècles, des érudits critiques ont commencé à nier qu'il ait écrit le Deutéronome. Certains spécialistes identifient ce livre comme le rouleau trouvé dans le Temple au temps du roi Josias (vers 621 av. J.-C. ; voir </w:t>
      </w:r>
      <w:hyperlink r:id="rId34">
        <w:r>
          <w:rPr>
            <w:lang w:val="fr_FR" w:bidi="fr_FR"/>
          </w:rPr>
          <w:rPr>
            <w:color w:val="0000EE"/>
            <w:u w:val="single"/>
          </w:rPr>
          <w:t>2R 22.8–20</w:t>
        </w:r>
      </w:hyperlink>
      <w:r>
        <w:rPr>
          <w:lang w:val="fr_FR" w:bidi="fr_FR"/>
        </w:rPr>
        <w:t>) et soutiennent que sa rédaction devrait être datée aux environs de cette époque. Certains attribuent également des ajouts éditoriaux aussi tardifs que la période suivant l'exil (538 av. J.-C. et plus tard).</w:t>
      </w:r>
    </w:p>
    <w:p>
      <w:pPr/>
      <w:r>
        <w:rPr>
          <w:lang w:val="fr_FR" w:bidi="fr_FR"/>
        </w:rPr>
      </w:r>
      <w:r>
        <w:rPr>
          <w:lang w:val="fr_FR" w:bidi="fr_FR"/>
        </w:rP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pPr/>
      <w:r>
        <w:rPr>
          <w:lang w:val="fr_FR" w:bidi="fr_FR"/>
        </w:rPr>
      </w:r>
      <w:r>
        <w:rPr>
          <w:lang w:val="fr_FR" w:bidi="fr_FR"/>
        </w:rPr>
        <w:t xml:space="preserve">En bref, le point de vue traditionnel selon lequel Moïse est l'auteur de la majorité du livre est une conclusion raisonnable. Certains ajouts éditoriaux ont été inclus ultérieurement (p. ex. le récit de la mort de Moïse ; </w:t>
      </w:r>
      <w:hyperlink r:id="rId35">
        <w:r>
          <w:rPr>
            <w:lang w:val="fr_FR" w:bidi="fr_FR"/>
          </w:rPr>
          <w:rPr>
            <w:color w:val="0000EE"/>
            <w:u w:val="single"/>
          </w:rPr>
          <w:t>34.5–12</w:t>
        </w:r>
      </w:hyperlink>
      <w:r>
        <w:rPr>
          <w:lang w:val="fr_FR" w:bidi="fr_FR"/>
        </w:rPr>
        <w:t xml:space="preserve">). Pour plus de détails, voir </w:t>
      </w:r>
      <w:r>
        <w:rPr>
          <w:lang w:val="fr_FR" w:bidi="fr_FR"/>
        </w:rPr>
        <w:t>l'introduction au livre de la Genèse,</w:t>
      </w:r>
      <w:r>
        <w:rPr>
          <w:lang w:val="fr_FR" w:bidi="fr_FR"/>
        </w:rPr>
        <w:t xml:space="preserve"> sous « Auteur ».</w:t>
      </w:r>
    </w:p>
    <w:p>
      <w:pPr>
        <w:pStyle w:val="Heading2"/>
      </w:pPr>
      <w:r>
        <w:rPr>
          <w:lang w:val="fr_FR" w:bidi="fr_FR"/>
        </w:rPr>
        <w:t>Forme littéraire</w:t>
      </w:r>
    </w:p>
    <w:p>
      <w:pPr/>
      <w:r>
        <w:rPr>
          <w:lang w:val="fr_FR" w:bidi="fr_FR"/>
        </w:rPr>
      </w:r>
      <w:r>
        <w:rPr>
          <w:lang w:val="fr_FR" w:bidi="fr_FR"/>
        </w:rP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pPr/>
      <w:r>
        <w:rPr>
          <w:lang w:val="fr_FR" w:bidi="fr_FR"/>
        </w:rPr>
      </w:r>
      <w:r>
        <w:rPr>
          <w:lang w:val="fr_FR" w:bidi="fr_FR"/>
        </w:rP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pPr/>
      <w:r>
        <w:rPr>
          <w:lang w:val="fr_FR" w:bidi="fr_FR"/>
        </w:rPr>
      </w:r>
      <w:r>
        <w:rPr>
          <w:lang w:val="fr_FR" w:bidi="fr_FR"/>
        </w:rP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hyperlink r:id="rId36">
        <w:r>
          <w:rPr>
            <w:lang w:val="fr_FR" w:bidi="fr_FR"/>
          </w:rPr>
          <w:rPr>
            <w:color w:val="0000EE"/>
            <w:u w:val="single"/>
          </w:rPr>
          <w:t>Ex 4.22–23</w:t>
        </w:r>
      </w:hyperlink>
      <w:r>
        <w:rPr>
          <w:lang w:val="fr_FR" w:bidi="fr_FR"/>
        </w:rPr>
        <w:t>). Le texte de l'alliance régule plutôt les attentes divines quant à leur conduite. En passant l'alliance en revue avec cette génération d'Israélites, Moïse s'assure de leur entrée en Terre promise en tant que peuple de l'alliance de Dieu.</w:t>
      </w:r>
    </w:p>
    <w:p>
      <w:pPr>
        <w:pStyle w:val="Heading2"/>
      </w:pPr>
      <w:r>
        <w:rPr>
          <w:lang w:val="fr_FR" w:bidi="fr_FR"/>
        </w:rPr>
        <w:t>Signification et message</w:t>
      </w:r>
    </w:p>
    <w:p>
      <w:pPr/>
      <w:r>
        <w:rPr>
          <w:lang w:val="fr_FR" w:bidi="fr_FR"/>
        </w:rPr>
      </w:r>
      <w:r>
        <w:rPr>
          <w:lang w:val="fr_FR" w:bidi="fr_FR"/>
        </w:rP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pPr/>
      <w:r>
        <w:rPr>
          <w:lang w:val="fr_FR" w:bidi="fr_FR"/>
        </w:rPr>
      </w:r>
      <w:r>
        <w:rPr>
          <w:lang w:val="fr_FR" w:bidi="fr_FR"/>
        </w:rPr>
        <w:t>Israël a la liberté d'accepter ou de rejeter l'alliance de Dieu (</w:t>
      </w:r>
      <w:hyperlink r:id="rId37">
        <w:r>
          <w:rPr>
            <w:lang w:val="fr_FR" w:bidi="fr_FR"/>
          </w:rPr>
          <w:rPr>
            <w:color w:val="0000EE"/>
            <w:u w:val="single"/>
          </w:rPr>
          <w:t>Ex 19.7–8</w:t>
        </w:r>
      </w:hyperlink>
      <w:r>
        <w:rPr>
          <w:lang w:val="fr_FR" w:bidi="fr_FR"/>
        </w:rPr>
        <w:t>). L'ayant acceptée, l'attribution des bénédictions et des malédictions, telle que décrite dans l'alliance, dépend de son obéissance ou de sa désobéissance (</w:t>
      </w:r>
      <w:hyperlink r:id="rId38">
        <w:r>
          <w:rPr>
            <w:lang w:val="fr_FR" w:bidi="fr_FR"/>
          </w:rPr>
          <w:rPr>
            <w:color w:val="0000EE"/>
            <w:u w:val="single"/>
          </w:rPr>
          <w:t>28.1–6</w:t>
        </w:r>
      </w:hyperlink>
      <w:r>
        <w:rPr>
          <w:lang w:val="fr_FR" w:bidi="fr_FR"/>
        </w:rPr>
        <w:t xml:space="preserve">, </w:t>
      </w:r>
      <w:hyperlink r:id="rId39">
        <w:r>
          <w:rPr>
            <w:lang w:val="fr_FR" w:bidi="fr_FR"/>
          </w:rPr>
          <w:rPr>
            <w:color w:val="0000EE"/>
            <w:u w:val="single"/>
          </w:rPr>
          <w:t>15–19</w:t>
        </w:r>
      </w:hyperlink>
      <w:r>
        <w:rPr>
          <w:lang w:val="fr_FR" w:bidi="fr_FR"/>
        </w:rPr>
        <w:t>). Pourtant, même la désobéissance pourrait être surmontée par la repentance de la nation, son retour et sa restauration à la communion de l'alliance (</w:t>
      </w:r>
      <w:hyperlink r:id="rId40">
        <w:r>
          <w:rPr>
            <w:lang w:val="fr_FR" w:bidi="fr_FR"/>
          </w:rPr>
          <w:rPr>
            <w:color w:val="0000EE"/>
            <w:u w:val="single"/>
          </w:rPr>
          <w:t>30.1–10</w:t>
        </w:r>
      </w:hyperlink>
      <w:r>
        <w:rPr>
          <w:lang w:val="fr_FR" w:bidi="fr_FR"/>
        </w:rPr>
        <w:t xml:space="preserve"> ; voir également </w:t>
      </w:r>
      <w:hyperlink r:id="rId41">
        <w:r>
          <w:rPr>
            <w:lang w:val="fr_FR" w:bidi="fr_FR"/>
          </w:rPr>
          <w:rPr>
            <w:color w:val="0000EE"/>
            <w:u w:val="single"/>
          </w:rPr>
          <w:t>Lc 26.40–45</w:t>
        </w:r>
      </w:hyperlink>
      <w:r>
        <w:rPr>
          <w:lang w:val="fr_FR" w:bidi="fr_FR"/>
        </w:rPr>
        <w:t>).</w:t>
      </w:r>
    </w:p>
    <w:p>
      <w:pPr/>
      <w:r>
        <w:rPr>
          <w:lang w:val="fr_FR" w:bidi="fr_FR"/>
        </w:rPr>
      </w:r>
      <w:r>
        <w:rPr>
          <w:lang w:val="fr_FR" w:bidi="fr_FR"/>
        </w:rPr>
        <w:t>Cette alliance ne fait pas d'Israël le peuple de Dieu ; la promesse faite par Dieu d'une descendance nationale à Abraham avait déjà accompli cela (</w:t>
      </w:r>
      <w:hyperlink r:id="rId42">
        <w:r>
          <w:rPr>
            <w:lang w:val="fr_FR" w:bidi="fr_FR"/>
          </w:rPr>
          <w:rPr>
            <w:color w:val="0000EE"/>
            <w:u w:val="single"/>
          </w:rPr>
          <w:t>Gn 17.1–8</w:t>
        </w:r>
      </w:hyperlink>
      <w:r>
        <w:rPr>
          <w:lang w:val="fr_FR" w:bidi="fr_FR"/>
        </w:rPr>
        <w:t>). L'alliance établie au Sinaï donne à Israël le privilège de servir le Seigneur en tant que royaume de sacrificateurs (</w:t>
      </w:r>
      <w:hyperlink r:id="rId43">
        <w:r>
          <w:rPr>
            <w:lang w:val="fr_FR" w:bidi="fr_FR"/>
          </w:rPr>
          <w:rPr>
            <w:color w:val="0000EE"/>
            <w:u w:val="single"/>
          </w:rPr>
          <w:t>Ex 19.4–6</w:t>
        </w:r>
      </w:hyperlink>
      <w:r>
        <w:rPr>
          <w:lang w:val="fr_FR" w:bidi="fr_FR"/>
        </w:rPr>
        <w:t>). Le Deutéronome réitère les modalités de cette alliance : si Israël reste fidèle dans son rôle de « royaume de sacrificateurs et [de] nation sainte », il amènerait les bénédictions de Dieu à l'ensemble du monde.</w:t>
      </w:r>
    </w:p>
    <w:p>
      <w:pPr/>
      <w:r>
        <w:rPr>
          <w:lang w:val="fr_FR" w:bidi="fr_FR"/>
        </w:rPr>
      </w:r>
      <w:r>
        <w:rPr>
          <w:lang w:val="fr_FR" w:bidi="fr_FR"/>
        </w:rP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