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i/>
          <w:lang w:val="fr_FR" w:bidi="fr_FR"/>
        </w:rPr>
        <w:t>2 Kings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hyperlink r:id="rId15">
        <w:r>
          <w:rPr>
            <w:lang w:val="fr_FR" w:bidi="fr_FR"/>
          </w:rPr>
          <w:rPr>
            <w:color w:val="0000EE"/>
            <w:u w:val="single"/>
          </w:rPr>
          <w:t>1.1–9.37</w:t>
        </w:r>
      </w:hyperlink>
      <w:r>
        <w:rPr>
          <w:lang w:val="fr_FR" w:bidi="fr_FR"/>
        </w:rPr>
        <w:t xml:space="preserve">) ; (2) la quatrième dynastie de ce royaume (841–752 av. J.-C., </w:t>
      </w:r>
      <w:hyperlink r:id="rId16">
        <w:r>
          <w:rPr>
            <w:lang w:val="fr_FR" w:bidi="fr_FR"/>
          </w:rPr>
          <w:rPr>
            <w:color w:val="0000EE"/>
            <w:u w:val="single"/>
          </w:rPr>
          <w:t>10.1–15.12</w:t>
        </w:r>
      </w:hyperlink>
      <w:r>
        <w:rPr>
          <w:lang w:val="fr_FR" w:bidi="fr_FR"/>
        </w:rPr>
        <w:t xml:space="preserve">) ; (3) sa période de déclin et sa chute (752–722 av. J.-C., </w:t>
      </w:r>
      <w:hyperlink r:id="rId17">
        <w:r>
          <w:rPr>
            <w:lang w:val="fr_FR" w:bidi="fr_FR"/>
          </w:rPr>
          <w:rPr>
            <w:color w:val="0000EE"/>
            <w:u w:val="single"/>
          </w:rPr>
          <w:t>15.13–17.41</w:t>
        </w:r>
      </w:hyperlink>
      <w:r>
        <w:rPr>
          <w:lang w:val="fr_FR" w:bidi="fr_FR"/>
        </w:rPr>
        <w:t xml:space="preserve">) et (4) la dernière ère du royaume du Sud (722–586 av. J.-C., </w:t>
      </w:r>
      <w:hyperlink r:id="rId18">
        <w:r>
          <w:rPr>
            <w:lang w:val="fr_FR" w:bidi="fr_FR"/>
          </w:rPr>
          <w:rPr>
            <w:color w:val="0000EE"/>
            <w:u w:val="single"/>
          </w:rPr>
          <w:t>18.1–25.30</w:t>
        </w:r>
      </w:hyperlink>
      <w:r>
        <w:rPr>
          <w:lang w:val="fr_FR" w:bidi="fr_FR"/>
        </w:rPr>
        <w:t>).</w:t>
      </w:r>
    </w:p>
    <w:p>
      <w:pPr/>
      <w:r>
        <w:rPr>
          <w:lang w:val="fr_FR" w:bidi="fr_FR"/>
        </w:rPr>
      </w:r>
      <w:r>
        <w:rPr>
          <w:lang w:val="fr_FR" w:bidi="fr_FR"/>
        </w:rPr>
        <w:t>Le livre commence par un accident causant la mort d'Ahazia, roi d'Israël (</w:t>
      </w:r>
      <w:hyperlink r:id="rId19">
        <w:r>
          <w:rPr>
            <w:lang w:val="fr_FR" w:bidi="fr_FR"/>
          </w:rPr>
          <w:rPr>
            <w:color w:val="0000EE"/>
            <w:u w:val="single"/>
          </w:rPr>
          <w:t>1.1–18</w:t>
        </w:r>
      </w:hyperlink>
      <w:r>
        <w:rPr>
          <w:lang w:val="fr_FR" w:bidi="fr_FR"/>
        </w:rPr>
        <w:t>), et par l'événement final de la vie d'Élie, lorsque Dieu le fait monter au ciel (</w:t>
      </w:r>
      <w:hyperlink r:id="rId20">
        <w:r>
          <w:rPr>
            <w:lang w:val="fr_FR" w:bidi="fr_FR"/>
          </w:rPr>
          <w:rPr>
            <w:color w:val="0000EE"/>
            <w:u w:val="single"/>
          </w:rPr>
          <w:t>2.1–12</w:t>
        </w:r>
      </w:hyperlink>
      <w:r>
        <w:rPr>
          <w:lang w:val="fr_FR" w:bidi="fr_FR"/>
        </w:rPr>
        <w:t>). La direction prophétique passe à Élisée, dont les miracles et les recommandations occupent les chapitres suivants (</w:t>
      </w:r>
      <w:hyperlink r:id="rId21">
        <w:r>
          <w:rPr>
            <w:lang w:val="fr_FR" w:bidi="fr_FR"/>
          </w:rPr>
          <w:rPr>
            <w:color w:val="0000EE"/>
            <w:u w:val="single"/>
          </w:rPr>
          <w:t>2.12–8.15</w:t>
        </w:r>
      </w:hyperlink>
      <w:r>
        <w:rPr>
          <w:lang w:val="fr_FR" w:bidi="fr_FR"/>
        </w:rPr>
        <w:t xml:space="preserve"> ; voir </w:t>
      </w:r>
      <w:hyperlink r:id="rId22">
        <w:r>
          <w:rPr>
            <w:lang w:val="fr_FR" w:bidi="fr_FR"/>
          </w:rPr>
          <w:rPr>
            <w:color w:val="0000EE"/>
            <w:u w:val="single"/>
          </w:rPr>
          <w:t>9.1–10</w:t>
        </w:r>
      </w:hyperlink>
      <w:r>
        <w:rPr>
          <w:lang w:val="fr_FR" w:bidi="fr_FR"/>
        </w:rPr>
        <w:t>).</w:t>
      </w:r>
    </w:p>
    <w:p>
      <w:pPr/>
      <w:r>
        <w:rPr>
          <w:lang w:val="fr_FR" w:bidi="fr_FR"/>
        </w:rPr>
      </w:r>
      <w:r>
        <w:rPr>
          <w:lang w:val="fr_FR" w:bidi="fr_FR"/>
        </w:rPr>
        <w:t>Le récit des règnes des rois de Juda Joram et Achazia (</w:t>
      </w:r>
      <w:hyperlink r:id="rId23">
        <w:r>
          <w:rPr>
            <w:lang w:val="fr_FR" w:bidi="fr_FR"/>
          </w:rPr>
          <w:rPr>
            <w:color w:val="0000EE"/>
            <w:u w:val="single"/>
          </w:rPr>
          <w:t>8.16–29</w:t>
        </w:r>
      </w:hyperlink>
      <w:r>
        <w:rPr>
          <w:lang w:val="fr_FR" w:bidi="fr_FR"/>
        </w:rPr>
        <w:t>) va jusqu'à 841 av. J.-C., année charnière qui les voit tués par Jéhu. Jéhu exécute également Jézabel, les membres survivants de la famille d'Achab et les fonctionnaires adorateurs de Baal (</w:t>
      </w:r>
      <w:hyperlink r:id="rId24">
        <w:r>
          <w:rPr>
            <w:lang w:val="fr_FR" w:bidi="fr_FR"/>
          </w:rPr>
          <w:rPr>
            <w:color w:val="0000EE"/>
            <w:u w:val="single"/>
          </w:rPr>
          <w:t>9.11–10.29</w:t>
        </w:r>
      </w:hyperlink>
      <w:r>
        <w:rPr>
          <w:lang w:val="fr_FR" w:bidi="fr_FR"/>
        </w:rPr>
        <w:t>). C'est ainsi que débute le règne de 28 ans de Jéhu (</w:t>
      </w:r>
      <w:hyperlink r:id="rId25">
        <w:r>
          <w:rPr>
            <w:lang w:val="fr_FR" w:bidi="fr_FR"/>
          </w:rPr>
          <w:rPr>
            <w:color w:val="0000EE"/>
            <w:u w:val="single"/>
          </w:rPr>
          <w:t>10.30–36</w:t>
        </w:r>
      </w:hyperlink>
      <w:r>
        <w:rPr>
          <w:lang w:val="fr_FR" w:bidi="fr_FR"/>
        </w:rPr>
        <w:t>). En même temps, Athalie (</w:t>
      </w:r>
      <w:hyperlink r:id="rId26">
        <w:r>
          <w:rPr>
            <w:lang w:val="fr_FR" w:bidi="fr_FR"/>
          </w:rPr>
          <w:rPr>
            <w:color w:val="0000EE"/>
            <w:u w:val="single"/>
          </w:rPr>
          <w:t>11.1–20</w:t>
        </w:r>
      </w:hyperlink>
      <w:r>
        <w:rPr>
          <w:lang w:val="fr_FR" w:bidi="fr_FR"/>
        </w:rPr>
        <w:t>) usurpe le trône de Juda et règne pendant six ans jusqu'à ce que ceux qui sont loyaux à la lignée de David placent le jeune Joas sur le trône (</w:t>
      </w:r>
      <w:hyperlink r:id="rId27">
        <w:r>
          <w:rPr>
            <w:lang w:val="fr_FR" w:bidi="fr_FR"/>
          </w:rPr>
          <w:rPr>
            <w:color w:val="0000EE"/>
            <w:u w:val="single"/>
          </w:rPr>
          <w:t>12.1–21</w:t>
        </w:r>
      </w:hyperlink>
      <w:r>
        <w:rPr>
          <w:lang w:val="fr_FR" w:bidi="fr_FR"/>
        </w:rPr>
        <w:t>).</w:t>
      </w:r>
    </w:p>
    <w:p>
      <w:pPr/>
      <w:r>
        <w:rPr>
          <w:lang w:val="fr_FR" w:bidi="fr_FR"/>
        </w:rPr>
      </w:r>
      <w:r>
        <w:rPr>
          <w:lang w:val="fr_FR" w:bidi="fr_FR"/>
        </w:rPr>
        <w:t>Les royaumes jumeaux jouissent de prospérité pendant un certain temps (</w:t>
      </w:r>
      <w:hyperlink r:id="rId28">
        <w:r>
          <w:rPr>
            <w:lang w:val="fr_FR" w:bidi="fr_FR"/>
          </w:rPr>
          <w:rPr>
            <w:color w:val="0000EE"/>
            <w:u w:val="single"/>
          </w:rPr>
          <w:t>14.23–15.7</w:t>
        </w:r>
      </w:hyperlink>
      <w:r>
        <w:rPr>
          <w:lang w:val="fr_FR" w:bidi="fr_FR"/>
        </w:rPr>
        <w:t>), mais le royaume du Nord persiste dans le mal et sa période de déclin commence : l'assassinat de Zacharie (</w:t>
      </w:r>
      <w:hyperlink r:id="rId29">
        <w:r>
          <w:rPr>
            <w:lang w:val="fr_FR" w:bidi="fr_FR"/>
          </w:rPr>
          <w:rPr>
            <w:color w:val="0000EE"/>
            <w:u w:val="single"/>
          </w:rPr>
          <w:t>15.8–12</w:t>
        </w:r>
      </w:hyperlink>
      <w:r>
        <w:rPr>
          <w:lang w:val="fr_FR" w:bidi="fr_FR"/>
        </w:rPr>
        <w:t>) est suivi des règnes brefs de Schallum, Menahem, Pekachia, Pékach et Osée (</w:t>
      </w:r>
      <w:hyperlink r:id="rId30">
        <w:r>
          <w:rPr>
            <w:lang w:val="fr_FR" w:bidi="fr_FR"/>
          </w:rPr>
          <w:rPr>
            <w:color w:val="0000EE"/>
            <w:u w:val="single"/>
          </w:rPr>
          <w:t>15.13–17.2</w:t>
        </w:r>
      </w:hyperlink>
      <w:r>
        <w:rPr>
          <w:lang w:val="fr_FR" w:bidi="fr_FR"/>
        </w:rPr>
        <w:t>). Celui-ci est le dernier roi d'Israël (732–722 av. J.-C.). Il est assez insensé pour placer sa confiance en l'Égypte et se rebelle contre l'Assyrie, provoquant la prise de Samarie et la fin du royaume du Nord en 722 av. J.-C. (</w:t>
      </w:r>
      <w:hyperlink r:id="rId31">
        <w:r>
          <w:rPr>
            <w:lang w:val="fr_FR" w:bidi="fr_FR"/>
          </w:rPr>
          <w:rPr>
            <w:color w:val="0000EE"/>
            <w:u w:val="single"/>
          </w:rPr>
          <w:t>17.3–6</w:t>
        </w:r>
      </w:hyperlink>
      <w:r>
        <w:rPr>
          <w:lang w:val="fr_FR" w:bidi="fr_FR"/>
        </w:rPr>
        <w:t>). L'auteur évalue ensuite les raisons de la chute d'Israël et raconte comment la Samarie est repeuplée (</w:t>
      </w:r>
      <w:hyperlink r:id="rId32">
        <w:r>
          <w:rPr>
            <w:lang w:val="fr_FR" w:bidi="fr_FR"/>
          </w:rPr>
          <w:rPr>
            <w:color w:val="0000EE"/>
            <w:u w:val="single"/>
          </w:rPr>
          <w:t>17.7–41</w:t>
        </w:r>
      </w:hyperlink>
      <w:r>
        <w:rPr>
          <w:lang w:val="fr_FR" w:bidi="fr_FR"/>
        </w:rPr>
        <w:t>).</w:t>
      </w:r>
    </w:p>
    <w:p>
      <w:pPr/>
      <w:r>
        <w:rPr>
          <w:lang w:val="fr_FR" w:bidi="fr_FR"/>
        </w:rPr>
      </w:r>
      <w:r>
        <w:rPr>
          <w:lang w:val="fr_FR" w:bidi="fr_FR"/>
        </w:rPr>
        <w:t>La dernière section de 2 Rois (</w:t>
      </w:r>
      <w:hyperlink r:id="rId18">
        <w:r>
          <w:rPr>
            <w:lang w:val="fr_FR" w:bidi="fr_FR"/>
          </w:rPr>
          <w:rPr>
            <w:color w:val="0000EE"/>
            <w:u w:val="single"/>
          </w:rPr>
          <w:t>18.1–25.30</w:t>
        </w:r>
      </w:hyperlink>
      <w:r>
        <w:rPr>
          <w:lang w:val="fr_FR" w:bidi="fr_FR"/>
        </w:rPr>
        <w:t>) raconte l'histoire du royaume de Juda. On se souvient d'Ézéchias pour avoir mis sa confiance en Dieu alors qu'il était sous pression (</w:t>
      </w:r>
      <w:hyperlink r:id="rId33">
        <w:r>
          <w:rPr>
            <w:lang w:val="fr_FR" w:bidi="fr_FR"/>
          </w:rPr>
          <w:rPr>
            <w:color w:val="0000EE"/>
            <w:u w:val="single"/>
          </w:rPr>
          <w:t>18.5–6</w:t>
        </w:r>
      </w:hyperlink>
      <w:r>
        <w:rPr>
          <w:lang w:val="fr_FR" w:bidi="fr_FR"/>
        </w:rPr>
        <w:t xml:space="preserve"> ; voir </w:t>
      </w:r>
      <w:hyperlink r:id="rId34">
        <w:r>
          <w:rPr>
            <w:lang w:val="fr_FR" w:bidi="fr_FR"/>
          </w:rPr>
          <w:rPr>
            <w:color w:val="0000EE"/>
            <w:u w:val="single"/>
          </w:rPr>
          <w:t>18.13–20.11</w:t>
        </w:r>
      </w:hyperlink>
      <w:r>
        <w:rPr>
          <w:lang w:val="fr_FR" w:bidi="fr_FR"/>
        </w:rPr>
        <w:t>), et Josias mérite des éloges pour sa dévotion à la loi de l'Éternel (</w:t>
      </w:r>
      <w:hyperlink r:id="rId35">
        <w:r>
          <w:rPr>
            <w:lang w:val="fr_FR" w:bidi="fr_FR"/>
          </w:rPr>
          <w:rPr>
            <w:color w:val="0000EE"/>
            <w:u w:val="single"/>
          </w:rPr>
          <w:t>23.19</w:t>
        </w:r>
      </w:hyperlink>
      <w:r>
        <w:rPr>
          <w:lang w:val="fr_FR" w:bidi="fr_FR"/>
        </w:rPr>
        <w:t xml:space="preserve"> ; voir </w:t>
      </w:r>
      <w:hyperlink r:id="rId36">
        <w:r>
          <w:rPr>
            <w:lang w:val="fr_FR" w:bidi="fr_FR"/>
          </w:rPr>
          <w:rPr>
            <w:color w:val="0000EE"/>
            <w:u w:val="single"/>
          </w:rPr>
          <w:t>22.8–23.25</w:t>
        </w:r>
      </w:hyperlink>
      <w:r>
        <w:rPr>
          <w:lang w:val="fr_FR" w:bidi="fr_FR"/>
        </w:rPr>
        <w:t>). Cependant, même ces deux rois commettent des erreurs critiques (</w:t>
      </w:r>
      <w:hyperlink r:id="rId37">
        <w:r>
          <w:rPr>
            <w:lang w:val="fr_FR" w:bidi="fr_FR"/>
          </w:rPr>
          <w:rPr>
            <w:color w:val="0000EE"/>
            <w:u w:val="single"/>
          </w:rPr>
          <w:t>20.12–19</w:t>
        </w:r>
      </w:hyperlink>
      <w:r>
        <w:rPr>
          <w:lang w:val="fr_FR" w:bidi="fr_FR"/>
        </w:rPr>
        <w:t xml:space="preserve"> ; </w:t>
      </w:r>
      <w:hyperlink r:id="rId38">
        <w:r>
          <w:rPr>
            <w:lang w:val="fr_FR" w:bidi="fr_FR"/>
          </w:rPr>
          <w:rPr>
            <w:color w:val="0000EE"/>
            <w:u w:val="single"/>
          </w:rPr>
          <w:t>23.29–30</w:t>
        </w:r>
      </w:hyperlink>
      <w:r>
        <w:rPr>
          <w:lang w:val="fr_FR" w:bidi="fr_FR"/>
        </w:rPr>
        <w:t xml:space="preserve"> ; voir </w:t>
      </w:r>
      <w:hyperlink r:id="rId39">
        <w:r>
          <w:rPr>
            <w:lang w:val="fr_FR" w:bidi="fr_FR"/>
          </w:rPr>
          <w:rPr>
            <w:color w:val="0000EE"/>
            <w:u w:val="single"/>
          </w:rPr>
          <w:t>2Ch 35.20–25</w:t>
        </w:r>
      </w:hyperlink>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hyperlink r:id="rId40">
        <w:r>
          <w:rPr>
            <w:lang w:val="fr_FR" w:bidi="fr_FR"/>
          </w:rPr>
          <w:rPr>
            <w:color w:val="0000EE"/>
            <w:u w:val="single"/>
          </w:rPr>
          <w:t>2R 23.31–25.21</w:t>
        </w:r>
      </w:hyperlink>
      <w:r>
        <w:rPr>
          <w:lang w:val="fr_FR" w:bidi="fr_FR"/>
        </w:rPr>
        <w:t xml:space="preserve">). Le jugement de Dieu qui avait été prophétisé vient donc sur la nation (voir </w:t>
      </w:r>
      <w:hyperlink r:id="rId41">
        <w:r>
          <w:rPr>
            <w:lang w:val="fr_FR" w:bidi="fr_FR"/>
          </w:rPr>
          <w:rPr>
            <w:color w:val="0000EE"/>
            <w:u w:val="single"/>
          </w:rPr>
          <w:t>Jr 38.17–23</w:t>
        </w:r>
      </w:hyperlink>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hyperlink r:id="rId42">
        <w:r>
          <w:rPr>
            <w:lang w:val="fr_FR" w:bidi="fr_FR"/>
          </w:rPr>
          <w:rPr>
            <w:color w:val="0000EE"/>
            <w:u w:val="single"/>
          </w:rPr>
          <w:t>2R 25.22–26</w:t>
        </w:r>
      </w:hyperlink>
      <w:r>
        <w:rPr>
          <w:lang w:val="fr_FR" w:bidi="fr_FR"/>
        </w:rPr>
        <w:t>). La seconde décrit la libération ultérieure de Jojakin à Babylone (</w:t>
      </w:r>
      <w:hyperlink r:id="rId43">
        <w:r>
          <w:rPr>
            <w:lang w:val="fr_FR" w:bidi="fr_FR"/>
          </w:rPr>
          <w:rPr>
            <w:color w:val="0000EE"/>
            <w:u w:val="single"/>
          </w:rPr>
          <w:t>25.27–30</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4">
        <w:r>
          <w:rPr>
            <w:lang w:val="fr_FR" w:bidi="fr_FR"/>
          </w:rPr>
          <w:rPr>
            <w:color w:val="0000EE"/>
            <w:u w:val="single"/>
          </w:rPr>
          <w:t>25.25–30</w:t>
        </w:r>
      </w:hyperlink>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hyperlink r:id="rId45">
        <w:r>
          <w:rPr>
            <w:lang w:val="fr_FR" w:bidi="fr_FR"/>
          </w:rPr>
          <w:rPr>
            <w:color w:val="0000EE"/>
            <w:u w:val="single"/>
          </w:rPr>
          <w:t>13.2</w:t>
        </w:r>
      </w:hyperlink>
      <w:r>
        <w:rPr>
          <w:lang w:val="fr_FR" w:bidi="fr_FR"/>
        </w:rPr>
        <w:t xml:space="preserve">, </w:t>
      </w:r>
      <w:hyperlink r:id="rId46">
        <w:r>
          <w:rPr>
            <w:lang w:val="fr_FR" w:bidi="fr_FR"/>
          </w:rPr>
          <w:rPr>
            <w:color w:val="0000EE"/>
            <w:u w:val="single"/>
          </w:rPr>
          <w:t>11</w:t>
        </w:r>
      </w:hyperlink>
      <w:r>
        <w:rPr>
          <w:lang w:val="fr_FR" w:bidi="fr_FR"/>
        </w:rPr>
        <w:t xml:space="preserve"> ; </w:t>
      </w:r>
      <w:hyperlink r:id="rId47">
        <w:r>
          <w:rPr>
            <w:lang w:val="fr_FR" w:bidi="fr_FR"/>
          </w:rPr>
          <w:rPr>
            <w:color w:val="0000EE"/>
            <w:u w:val="single"/>
          </w:rPr>
          <w:t>14.24</w:t>
        </w:r>
      </w:hyperlink>
      <w:r>
        <w:rPr>
          <w:lang w:val="fr_FR" w:bidi="fr_FR"/>
        </w:rPr>
        <w:t xml:space="preserve"> ; </w:t>
      </w:r>
      <w:hyperlink r:id="rId48">
        <w:r>
          <w:rPr>
            <w:lang w:val="fr_FR" w:bidi="fr_FR"/>
          </w:rPr>
          <w:rPr>
            <w:color w:val="0000EE"/>
            <w:u w:val="single"/>
          </w:rPr>
          <w:t>15.9</w:t>
        </w:r>
      </w:hyperlink>
      <w:r>
        <w:rPr>
          <w:lang w:val="fr_FR" w:bidi="fr_FR"/>
        </w:rPr>
        <w:t xml:space="preserve"> ; </w:t>
      </w:r>
      <w:hyperlink r:id="rId49">
        <w:r>
          <w:rPr>
            <w:lang w:val="fr_FR" w:bidi="fr_FR"/>
          </w:rPr>
          <w:rPr>
            <w:color w:val="0000EE"/>
            <w:u w:val="single"/>
          </w:rPr>
          <w:t>17.2</w:t>
        </w:r>
      </w:hyperlink>
      <w:r>
        <w:rPr>
          <w:lang w:val="fr_FR" w:bidi="fr_FR"/>
        </w:rPr>
        <w:t xml:space="preserve">). Bien des rois de Juda sont censurés de la même façon (voir p. ex. </w:t>
      </w:r>
      <w:hyperlink r:id="rId50">
        <w:r>
          <w:rPr>
            <w:lang w:val="fr_FR" w:bidi="fr_FR"/>
          </w:rPr>
          <w:rPr>
            <w:color w:val="0000EE"/>
            <w:u w:val="single"/>
          </w:rPr>
          <w:t>8.18</w:t>
        </w:r>
      </w:hyperlink>
      <w:r>
        <w:rPr>
          <w:lang w:val="fr_FR" w:bidi="fr_FR"/>
        </w:rPr>
        <w:t>). Manassé notamment est condamné à cause de son idolâtrie et de son apostasie effrénées (</w:t>
      </w:r>
      <w:hyperlink r:id="rId51">
        <w:r>
          <w:rPr>
            <w:lang w:val="fr_FR" w:bidi="fr_FR"/>
          </w:rPr>
          <w:rPr>
            <w:color w:val="0000EE"/>
            <w:u w:val="single"/>
          </w:rPr>
          <w:t>21.2–9</w:t>
        </w:r>
      </w:hyperlink>
      <w:r>
        <w:rPr>
          <w:lang w:val="fr_FR" w:bidi="fr_FR"/>
        </w:rPr>
        <w:t>), et plusieurs rois suivent son exemple (</w:t>
      </w:r>
      <w:hyperlink r:id="rId52">
        <w:r>
          <w:rPr>
            <w:lang w:val="fr_FR" w:bidi="fr_FR"/>
          </w:rPr>
          <w:rPr>
            <w:color w:val="0000EE"/>
            <w:u w:val="single"/>
          </w:rPr>
          <w:t>21.20</w:t>
        </w:r>
      </w:hyperlink>
      <w:r>
        <w:rPr>
          <w:lang w:val="fr_FR" w:bidi="fr_FR"/>
        </w:rPr>
        <w:t xml:space="preserve"> ; </w:t>
      </w:r>
      <w:hyperlink r:id="rId53">
        <w:r>
          <w:rPr>
            <w:lang w:val="fr_FR" w:bidi="fr_FR"/>
          </w:rPr>
          <w:rPr>
            <w:color w:val="0000EE"/>
            <w:u w:val="single"/>
          </w:rPr>
          <w:t>23.32</w:t>
        </w:r>
      </w:hyperlink>
      <w:r>
        <w:rPr>
          <w:lang w:val="fr_FR" w:bidi="fr_FR"/>
        </w:rPr>
        <w:t xml:space="preserve">, </w:t>
      </w:r>
      <w:hyperlink r:id="rId54">
        <w:r>
          <w:rPr>
            <w:lang w:val="fr_FR" w:bidi="fr_FR"/>
          </w:rPr>
          <w:rPr>
            <w:color w:val="0000EE"/>
            <w:u w:val="single"/>
          </w:rPr>
          <w:t>37</w:t>
        </w:r>
      </w:hyperlink>
      <w:r>
        <w:rPr>
          <w:lang w:val="fr_FR" w:bidi="fr_FR"/>
        </w:rPr>
        <w:t xml:space="preserve"> ; </w:t>
      </w:r>
      <w:hyperlink r:id="rId55">
        <w:r>
          <w:rPr>
            <w:lang w:val="fr_FR" w:bidi="fr_FR"/>
          </w:rPr>
          <w:rPr>
            <w:color w:val="0000EE"/>
            <w:u w:val="single"/>
          </w:rPr>
          <w:t>24.9</w:t>
        </w:r>
      </w:hyperlink>
      <w:r>
        <w:rPr>
          <w:lang w:val="fr_FR" w:bidi="fr_FR"/>
        </w:rPr>
        <w:t xml:space="preserve">, </w:t>
      </w:r>
      <w:hyperlink r:id="rId56">
        <w:r>
          <w:rPr>
            <w:lang w:val="fr_FR" w:bidi="fr_FR"/>
          </w:rPr>
          <w:rPr>
            <w:color w:val="0000EE"/>
            <w:u w:val="single"/>
          </w:rPr>
          <w:t>19</w:t>
        </w:r>
      </w:hyperlink>
      <w:r>
        <w:rPr>
          <w:lang w:val="fr_FR" w:bidi="fr_FR"/>
        </w:rPr>
        <w:t>).</w:t>
      </w:r>
    </w:p>
    <w:p>
      <w:pPr/>
      <w:r>
        <w:rPr>
          <w:lang w:val="fr_FR" w:bidi="fr_FR"/>
        </w:rPr>
      </w:r>
      <w:r>
        <w:rPr>
          <w:lang w:val="fr_FR" w:bidi="fr_FR"/>
        </w:rPr>
        <w:t>Plusieurs rois de Juda sont cependant loués pour avoir fait « ce qui est bien aux yeux de l'Éternel » (</w:t>
      </w:r>
      <w:hyperlink r:id="rId57">
        <w:r>
          <w:rPr>
            <w:lang w:val="fr_FR" w:bidi="fr_FR"/>
          </w:rPr>
          <w:rPr>
            <w:color w:val="0000EE"/>
            <w:u w:val="single"/>
          </w:rPr>
          <w:t>12.2</w:t>
        </w:r>
      </w:hyperlink>
      <w:r>
        <w:rPr>
          <w:lang w:val="fr_FR" w:bidi="fr_FR"/>
        </w:rPr>
        <w:t xml:space="preserve"> ; </w:t>
      </w:r>
      <w:hyperlink r:id="rId58">
        <w:r>
          <w:rPr>
            <w:lang w:val="fr_FR" w:bidi="fr_FR"/>
          </w:rPr>
          <w:rPr>
            <w:color w:val="0000EE"/>
            <w:u w:val="single"/>
          </w:rPr>
          <w:t>14.3</w:t>
        </w:r>
      </w:hyperlink>
      <w:r>
        <w:rPr>
          <w:lang w:val="fr_FR" w:bidi="fr_FR"/>
        </w:rPr>
        <w:t xml:space="preserve"> ; </w:t>
      </w:r>
      <w:hyperlink r:id="rId59">
        <w:r>
          <w:rPr>
            <w:lang w:val="fr_FR" w:bidi="fr_FR"/>
          </w:rPr>
          <w:rPr>
            <w:color w:val="0000EE"/>
            <w:u w:val="single"/>
          </w:rPr>
          <w:t>15.3</w:t>
        </w:r>
      </w:hyperlink>
      <w:r>
        <w:rPr>
          <w:lang w:val="fr_FR" w:bidi="fr_FR"/>
        </w:rPr>
        <w:t xml:space="preserve">, </w:t>
      </w:r>
      <w:hyperlink r:id="rId60">
        <w:r>
          <w:rPr>
            <w:lang w:val="fr_FR" w:bidi="fr_FR"/>
          </w:rPr>
          <w:rPr>
            <w:color w:val="0000EE"/>
            <w:u w:val="single"/>
          </w:rPr>
          <w:t>34</w:t>
        </w:r>
      </w:hyperlink>
      <w:r>
        <w:rPr>
          <w:lang w:val="fr_FR" w:bidi="fr_FR"/>
        </w:rPr>
        <w:t xml:space="preserve"> ; </w:t>
      </w:r>
      <w:hyperlink r:id="rId61">
        <w:r>
          <w:rPr>
            <w:lang w:val="fr_FR" w:bidi="fr_FR"/>
          </w:rPr>
          <w:rPr>
            <w:color w:val="0000EE"/>
            <w:u w:val="single"/>
          </w:rPr>
          <w:t>18.3</w:t>
        </w:r>
      </w:hyperlink>
      <w:r>
        <w:rPr>
          <w:lang w:val="fr_FR" w:bidi="fr_FR"/>
        </w:rPr>
        <w:t xml:space="preserve"> ; </w:t>
      </w:r>
      <w:hyperlink r:id="rId62">
        <w:r>
          <w:rPr>
            <w:lang w:val="fr_FR" w:bidi="fr_FR"/>
          </w:rPr>
          <w:rPr>
            <w:color w:val="0000EE"/>
            <w:u w:val="single"/>
          </w:rPr>
          <w:t>22.2</w:t>
        </w:r>
      </w:hyperlink>
      <w:r>
        <w:rPr>
          <w:lang w:val="fr_FR" w:bidi="fr_FR"/>
        </w:rPr>
        <w:t>). Ces hommes se préoccupent de l'entretien de la réparation du Temple (</w:t>
      </w:r>
      <w:hyperlink r:id="rId63">
        <w:r>
          <w:rPr>
            <w:lang w:val="fr_FR" w:bidi="fr_FR"/>
          </w:rPr>
          <w:rPr>
            <w:color w:val="0000EE"/>
            <w:u w:val="single"/>
          </w:rPr>
          <w:t>12.6–16</w:t>
        </w:r>
      </w:hyperlink>
      <w:r>
        <w:rPr>
          <w:lang w:val="fr_FR" w:bidi="fr_FR"/>
        </w:rPr>
        <w:t xml:space="preserve"> ; </w:t>
      </w:r>
      <w:hyperlink r:id="rId64">
        <w:r>
          <w:rPr>
            <w:lang w:val="fr_FR" w:bidi="fr_FR"/>
          </w:rPr>
          <w:rPr>
            <w:color w:val="0000EE"/>
            <w:u w:val="single"/>
          </w:rPr>
          <w:t>22.3–7</w:t>
        </w:r>
      </w:hyperlink>
      <w:r>
        <w:rPr>
          <w:lang w:val="fr_FR" w:bidi="fr_FR"/>
        </w:rPr>
        <w:t>) et de l'obéissance aux préceptes de la parole de Dieu (</w:t>
      </w:r>
      <w:hyperlink r:id="rId65">
        <w:r>
          <w:rPr>
            <w:lang w:val="fr_FR" w:bidi="fr_FR"/>
          </w:rPr>
          <w:rPr>
            <w:color w:val="0000EE"/>
            <w:u w:val="single"/>
          </w:rPr>
          <w:t>18.6</w:t>
        </w:r>
      </w:hyperlink>
      <w:r>
        <w:rPr>
          <w:lang w:val="fr_FR" w:bidi="fr_FR"/>
        </w:rPr>
        <w:t xml:space="preserve"> ; </w:t>
      </w:r>
      <w:hyperlink r:id="rId66">
        <w:r>
          <w:rPr>
            <w:lang w:val="fr_FR" w:bidi="fr_FR"/>
          </w:rPr>
          <w:rPr>
            <w:color w:val="0000EE"/>
            <w:u w:val="single"/>
          </w:rPr>
          <w:t>22.8–13</w:t>
        </w:r>
      </w:hyperlink>
      <w:r>
        <w:rPr>
          <w:lang w:val="fr_FR" w:bidi="fr_FR"/>
        </w:rPr>
        <w:t xml:space="preserve"> ; </w:t>
      </w:r>
      <w:hyperlink r:id="rId67">
        <w:r>
          <w:rPr>
            <w:lang w:val="fr_FR" w:bidi="fr_FR"/>
          </w:rPr>
          <w:rPr>
            <w:color w:val="0000EE"/>
            <w:u w:val="single"/>
          </w:rPr>
          <w:t>23.1–3</w:t>
        </w:r>
      </w:hyperlink>
      <w:r>
        <w:rPr>
          <w:lang w:val="fr_FR" w:bidi="fr_FR"/>
        </w:rPr>
        <w:t>). Ézéchias et Josias reçoivent des éloges spéciaux : Ézéchias pour sa confiance dans le Seigneur et son obéissance à la parole de Dieu (</w:t>
      </w:r>
      <w:hyperlink r:id="rId33">
        <w:r>
          <w:rPr>
            <w:lang w:val="fr_FR" w:bidi="fr_FR"/>
          </w:rPr>
          <w:rPr>
            <w:color w:val="0000EE"/>
            <w:u w:val="single"/>
          </w:rPr>
          <w:t>18.5–6</w:t>
        </w:r>
      </w:hyperlink>
      <w:r>
        <w:rPr>
          <w:lang w:val="fr_FR" w:bidi="fr_FR"/>
        </w:rPr>
        <w:t>), et Josias pour sa haute estime de la loi de Moïse (</w:t>
      </w:r>
      <w:hyperlink r:id="rId68">
        <w:r>
          <w:rPr>
            <w:lang w:val="fr_FR" w:bidi="fr_FR"/>
          </w:rPr>
          <w:rPr>
            <w:color w:val="0000EE"/>
            <w:u w:val="single"/>
          </w:rPr>
          <w:t>23.25</w:t>
        </w:r>
      </w:hyperlink>
      <w:r>
        <w:rPr>
          <w:lang w:val="fr_FR" w:bidi="fr_FR"/>
        </w:rPr>
        <w:t xml:space="preserve">). Les implications sont limpides. Le peuple de Dieu doit vivre en accord avec les normes élevées de la parole Dieu, afin de faire « ce qui est bien aux yeux de l'Éternel » (comp. </w:t>
      </w:r>
      <w:hyperlink r:id="rId69">
        <w:r>
          <w:rPr>
            <w:lang w:val="fr_FR" w:bidi="fr_FR"/>
          </w:rPr>
          <w:rPr>
            <w:color w:val="0000EE"/>
            <w:u w:val="single"/>
          </w:rPr>
          <w:t>Ps 119.9–11</w:t>
        </w:r>
      </w:hyperlink>
      <w:r>
        <w:rPr>
          <w:lang w:val="fr_FR" w:bidi="fr_FR"/>
        </w:rPr>
        <w:t xml:space="preserve">, </w:t>
      </w:r>
      <w:hyperlink r:id="rId70">
        <w:r>
          <w:rPr>
            <w:lang w:val="fr_FR" w:bidi="fr_FR"/>
          </w:rPr>
          <w:rPr>
            <w:color w:val="0000EE"/>
            <w:u w:val="single"/>
          </w:rPr>
          <w:t>111</w:t>
        </w:r>
      </w:hyperlink>
      <w:r>
        <w:rPr>
          <w:lang w:val="fr_FR" w:bidi="fr_FR"/>
        </w:rPr>
        <w:t xml:space="preserve"> ;</w:t>
      </w:r>
      <w:hyperlink r:id="rId71">
        <w:r>
          <w:rPr>
            <w:lang w:val="fr_FR" w:bidi="fr_FR"/>
          </w:rPr>
          <w:rPr>
            <w:color w:val="0000EE"/>
            <w:u w:val="single"/>
          </w:rPr>
          <w:t xml:space="preserve"> 2Tm 3.16–17</w:t>
        </w:r>
      </w:hyperlink>
      <w:r>
        <w:rPr>
          <w:lang w:val="fr_FR" w:bidi="fr_FR"/>
        </w:rPr>
        <w:t>).</w:t>
      </w:r>
    </w:p>
    <w:p>
      <w:pPr/>
      <w:r>
        <w:rPr>
          <w:lang w:val="fr_FR" w:bidi="fr_FR"/>
        </w:rPr>
      </w:r>
      <w:r>
        <w:rPr>
          <w:lang w:val="fr_FR" w:bidi="fr_FR"/>
        </w:rPr>
        <w:t>La prééminence accordée aux derniers jours du grand prophète Élie (</w:t>
      </w:r>
      <w:hyperlink r:id="rId72">
        <w:r>
          <w:rPr>
            <w:lang w:val="fr_FR" w:bidi="fr_FR"/>
          </w:rPr>
          <w:rPr>
            <w:color w:val="0000EE"/>
            <w:u w:val="single"/>
          </w:rPr>
          <w:t>1.3–17</w:t>
        </w:r>
      </w:hyperlink>
      <w:r>
        <w:rPr>
          <w:lang w:val="fr_FR" w:bidi="fr_FR"/>
        </w:rPr>
        <w:t xml:space="preserve"> ; </w:t>
      </w:r>
      <w:hyperlink r:id="rId73">
        <w:r>
          <w:rPr>
            <w:lang w:val="fr_FR" w:bidi="fr_FR"/>
          </w:rPr>
          <w:rPr>
            <w:color w:val="0000EE"/>
            <w:u w:val="single"/>
          </w:rPr>
          <w:t>2.1–11</w:t>
        </w:r>
      </w:hyperlink>
      <w:r>
        <w:rPr>
          <w:lang w:val="fr_FR" w:bidi="fr_FR"/>
        </w:rPr>
        <w:t>) et au ministère spectaculaire d'Élisée (</w:t>
      </w:r>
      <w:hyperlink r:id="rId74">
        <w:r>
          <w:rPr>
            <w:lang w:val="fr_FR" w:bidi="fr_FR"/>
          </w:rPr>
          <w:rPr>
            <w:color w:val="0000EE"/>
            <w:u w:val="single"/>
          </w:rPr>
          <w:t>2.12–25</w:t>
        </w:r>
      </w:hyperlink>
      <w:r>
        <w:rPr>
          <w:lang w:val="fr_FR" w:bidi="fr_FR"/>
        </w:rPr>
        <w:t xml:space="preserve"> ; </w:t>
      </w:r>
      <w:hyperlink r:id="rId75">
        <w:r>
          <w:rPr>
            <w:lang w:val="fr_FR" w:bidi="fr_FR"/>
          </w:rPr>
          <w:rPr>
            <w:color w:val="0000EE"/>
            <w:u w:val="single"/>
          </w:rPr>
          <w:t>3.11–19</w:t>
        </w:r>
      </w:hyperlink>
      <w:r>
        <w:rPr>
          <w:lang w:val="fr_FR" w:bidi="fr_FR"/>
        </w:rPr>
        <w:t xml:space="preserve"> ; </w:t>
      </w:r>
      <w:hyperlink r:id="rId76">
        <w:r>
          <w:rPr>
            <w:lang w:val="fr_FR" w:bidi="fr_FR"/>
          </w:rPr>
          <w:rPr>
            <w:color w:val="0000EE"/>
            <w:u w:val="single"/>
          </w:rPr>
          <w:t>4.1–7.2</w:t>
        </w:r>
      </w:hyperlink>
      <w:r>
        <w:rPr>
          <w:lang w:val="fr_FR" w:bidi="fr_FR"/>
        </w:rPr>
        <w:t xml:space="preserve"> ; </w:t>
      </w:r>
      <w:hyperlink r:id="rId77">
        <w:r>
          <w:rPr>
            <w:lang w:val="fr_FR" w:bidi="fr_FR"/>
          </w:rPr>
          <w:rPr>
            <w:color w:val="0000EE"/>
            <w:u w:val="single"/>
          </w:rPr>
          <w:t>8.1–2</w:t>
        </w:r>
      </w:hyperlink>
      <w:r>
        <w:rPr>
          <w:lang w:val="fr_FR" w:bidi="fr_FR"/>
        </w:rPr>
        <w:t>) souligne la nécessité d'annoncer les paroles de Dieu aux autres (</w:t>
      </w:r>
      <w:hyperlink r:id="rId78">
        <w:r>
          <w:rPr>
            <w:lang w:val="fr_FR" w:bidi="fr_FR"/>
          </w:rPr>
          <w:rPr>
            <w:color w:val="0000EE"/>
            <w:u w:val="single"/>
          </w:rPr>
          <w:t>Ac 20.18–21</w:t>
        </w:r>
      </w:hyperlink>
      <w:r>
        <w:rPr>
          <w:lang w:val="fr_FR" w:bidi="fr_FR"/>
        </w:rPr>
        <w:t xml:space="preserve"> ; </w:t>
      </w:r>
      <w:hyperlink r:id="rId79">
        <w:r>
          <w:rPr>
            <w:lang w:val="fr_FR" w:bidi="fr_FR"/>
          </w:rPr>
          <w:rPr>
            <w:color w:val="0000EE"/>
            <w:u w:val="single"/>
          </w:rPr>
          <w:t xml:space="preserve">2Tm 2.15 </w:t>
        </w:r>
      </w:hyperlink>
      <w:r>
        <w:rPr>
          <w:lang w:val="fr_FR" w:bidi="fr_FR"/>
        </w:rPr>
        <w:t xml:space="preserve"> ; </w:t>
      </w:r>
      <w:hyperlink r:id="rId80">
        <w:r>
          <w:rPr>
            <w:lang w:val="fr_FR" w:bidi="fr_FR"/>
          </w:rPr>
          <w:rPr>
            <w:color w:val="0000EE"/>
            <w:u w:val="single"/>
          </w:rPr>
          <w:t>4.2</w:t>
        </w:r>
      </w:hyperlink>
      <w:r>
        <w:rPr>
          <w:lang w:val="fr_FR" w:bidi="fr_FR"/>
        </w:rPr>
        <w:t>) afin qu'ils puissent entrer en relation d'alliance avec lui (</w:t>
      </w:r>
      <w:hyperlink r:id="rId81">
        <w:r>
          <w:rPr>
            <w:lang w:val="fr_FR" w:bidi="fr_FR"/>
          </w:rPr>
          <w:rPr>
            <w:color w:val="0000EE"/>
            <w:u w:val="single"/>
          </w:rPr>
          <w:t>2Co 3.4–6</w:t>
        </w:r>
      </w:hyperlink>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hyperlink r:id="rId82">
        <w:r>
          <w:rPr>
            <w:lang w:val="fr_FR" w:bidi="fr_FR"/>
          </w:rPr>
          <w:rPr>
            <w:color w:val="0000EE"/>
            <w:u w:val="single"/>
          </w:rPr>
          <w:t>Ps 84.11</w:t>
        </w:r>
      </w:hyperlink>
      <w:r>
        <w:rPr>
          <w:lang w:val="fr_FR" w:bidi="fr_FR"/>
        </w:rPr>
        <w:t xml:space="preserve"> ; </w:t>
      </w:r>
      <w:hyperlink r:id="rId83">
        <w:r>
          <w:rPr>
            <w:lang w:val="fr_FR" w:bidi="fr_FR"/>
          </w:rPr>
          <w:rPr>
            <w:color w:val="0000EE"/>
            <w:u w:val="single"/>
          </w:rPr>
          <w:t>Rm 14.7–8</w:t>
        </w:r>
      </w:hyperlink>
      <w:r>
        <w:rPr>
          <w:lang w:val="fr_FR" w:bidi="fr_FR"/>
        </w:rPr>
        <w:t>), et lorsqu'ils se présenteront devant Dieu pour être jugés (</w:t>
      </w:r>
      <w:hyperlink r:id="rId84">
        <w:r>
          <w:rPr>
            <w:lang w:val="fr_FR" w:bidi="fr_FR"/>
          </w:rPr>
          <w:rPr>
            <w:color w:val="0000EE"/>
            <w:u w:val="single"/>
          </w:rPr>
          <w:t>Rm 14.10–11</w:t>
        </w:r>
      </w:hyperlink>
      <w:r>
        <w:rPr>
          <w:lang w:val="fr_FR" w:bidi="fr_FR"/>
        </w:rPr>
        <w:t xml:space="preserve"> ; </w:t>
      </w:r>
      <w:hyperlink r:id="rId85">
        <w:r>
          <w:rPr>
            <w:lang w:val="fr_FR" w:bidi="fr_FR"/>
          </w:rPr>
          <w:rPr>
            <w:color w:val="0000EE"/>
            <w:u w:val="single"/>
          </w:rPr>
          <w:t>2Co 5.10</w:t>
        </w:r>
      </w:hyperlink>
      <w:r>
        <w:rPr>
          <w:lang w:val="fr_FR" w:bidi="fr_FR"/>
        </w:rPr>
        <w:t>), il les récompensera et les louera (</w:t>
      </w:r>
      <w:hyperlink r:id="rId86">
        <w:r>
          <w:rPr>
            <w:lang w:val="fr_FR" w:bidi="fr_FR"/>
          </w:rPr>
          <w:rPr>
            <w:color w:val="0000EE"/>
            <w:u w:val="single"/>
          </w:rPr>
          <w:t xml:space="preserve">2Tm 4.7–8 </w:t>
        </w:r>
      </w:hyperlink>
      <w:r>
        <w:rPr>
          <w:lang w:val="fr_FR" w:bidi="fr_FR"/>
        </w:rPr>
        <w:t xml:space="preserve"> ; </w:t>
      </w:r>
      <w:hyperlink r:id="rId87">
        <w:r>
          <w:rPr>
            <w:lang w:val="fr_FR" w:bidi="fr_FR"/>
          </w:rPr>
          <w:rPr>
            <w:color w:val="0000EE"/>
            <w:u w:val="single"/>
          </w:rPr>
          <w:t>Ap 2.10</w:t>
        </w:r>
      </w:hyperlink>
      <w:r>
        <w:rPr>
          <w:lang w:val="fr_FR" w:bidi="fr_FR"/>
        </w:rPr>
        <w:t xml:space="preserve"> ; voir </w:t>
      </w:r>
      <w:hyperlink r:id="rId88">
        <w:r>
          <w:rPr>
            <w:lang w:val="fr_FR" w:bidi="fr_FR"/>
          </w:rPr>
          <w:rPr>
            <w:color w:val="0000EE"/>
            <w:u w:val="single"/>
          </w:rPr>
          <w:t>Mt 25.23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