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2"/>
      </w:pPr>
      <w:r>
        <w:rPr>
          <w:lang w:val="fr_FR" w:bidi="fr_FR"/>
        </w:rPr>
        <w:t>Contexte</w:t>
      </w:r>
    </w:p>
    <w:p>
      <w:pPr/>
      <w:r>
        <w:rPr>
          <w:lang w:val="fr_FR" w:bidi="fr_FR"/>
        </w:rPr>
      </w:r>
      <w:r>
        <w:rPr>
          <w:lang w:val="fr_FR" w:bidi="fr_FR"/>
        </w:rP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pPr/>
      <w:r>
        <w:rPr>
          <w:lang w:val="fr_FR" w:bidi="fr_FR"/>
        </w:rPr>
      </w:r>
      <w:r>
        <w:rPr>
          <w:lang w:val="fr_FR" w:bidi="fr_FR"/>
        </w:rP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2"/>
      </w:pPr>
      <w:r>
        <w:rPr>
          <w:lang w:val="fr_FR" w:bidi="fr_FR"/>
        </w:rPr>
        <w:t>Résumé</w:t>
      </w:r>
    </w:p>
    <w:p>
      <w:pPr/>
      <w:r>
        <w:rPr>
          <w:lang w:val="fr_FR" w:bidi="fr_FR"/>
        </w:rPr>
      </w:r>
      <w:r>
        <w:rPr>
          <w:lang w:val="fr_FR" w:bidi="fr_FR"/>
        </w:rPr>
        <w:t>Le livre de Joël se divise en deux grandes parties. La première (</w:t>
      </w:r>
      <w:hyperlink r:id="rId15">
        <w:r>
          <w:rPr>
            <w:lang w:val="fr_FR" w:bidi="fr_FR"/>
          </w:rPr>
          <w:rPr>
            <w:color w:val="0000EE"/>
            <w:u w:val="single"/>
          </w:rPr>
          <w:t>1.1–2.17</w:t>
        </w:r>
      </w:hyperlink>
      <w:r>
        <w:rPr>
          <w:lang w:val="fr_FR" w:bidi="fr_FR"/>
        </w:rP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hyperlink r:id="rId16">
        <w:r>
          <w:rPr>
            <w:lang w:val="fr_FR" w:bidi="fr_FR"/>
          </w:rPr>
          <w:rPr>
            <w:color w:val="0000EE"/>
            <w:u w:val="single"/>
          </w:rPr>
          <w:t>2.12–17</w:t>
        </w:r>
      </w:hyperlink>
      <w:r>
        <w:rPr>
          <w:lang w:val="fr_FR" w:bidi="fr_FR"/>
        </w:rPr>
        <w:t>). Certains voient dans cette description non pas un récit littéral, mais la métaphore d’une armée ennemie, image du jour de jugement à venir.</w:t>
      </w:r>
    </w:p>
    <w:p>
      <w:pPr/>
      <w:r>
        <w:rPr>
          <w:lang w:val="fr_FR" w:bidi="fr_FR"/>
        </w:rPr>
      </w:r>
      <w:r>
        <w:rPr>
          <w:lang w:val="fr_FR" w:bidi="fr_FR"/>
        </w:rPr>
        <w:t>La seconde partie (</w:t>
      </w:r>
      <w:hyperlink r:id="rId17">
        <w:r>
          <w:rPr>
            <w:lang w:val="fr_FR" w:bidi="fr_FR"/>
          </w:rPr>
          <w:rPr>
            <w:color w:val="0000EE"/>
            <w:u w:val="single"/>
          </w:rPr>
          <w:t>2.18–3.21</w:t>
        </w:r>
      </w:hyperlink>
      <w:r>
        <w:rPr>
          <w:lang w:val="fr_FR" w:bidi="fr_FR"/>
        </w:rPr>
        <w:t xml:space="preserve">), présente la réponse de l’Éternel : il compatit à la détresse de son peuple et annonce la restauration de la terre après l'invasion des sauterelles. Dans </w:t>
      </w:r>
      <w:hyperlink r:id="rId18">
        <w:r>
          <w:rPr>
            <w:lang w:val="fr_FR" w:bidi="fr_FR"/>
          </w:rPr>
          <w:rPr>
            <w:color w:val="0000EE"/>
            <w:u w:val="single"/>
          </w:rPr>
          <w:t>2.18–27</w:t>
        </w:r>
      </w:hyperlink>
      <w:r>
        <w:rPr>
          <w:lang w:val="fr_FR" w:bidi="fr_FR"/>
        </w:rPr>
        <w:t>, Joël décrit comment Dieu va restaurer leur vie matérielle dans un avenir immédiat, en prenant soin de leurs champs, leurs vergers, leurs vignobles et leurs troupeaux. Puis, dans un avenir plus lointain, Dieu promettait de restaurer aussi la vie spirituelle (</w:t>
      </w:r>
      <w:hyperlink r:id="rId19">
        <w:r>
          <w:rPr>
            <w:lang w:val="fr_FR" w:bidi="fr_FR"/>
          </w:rPr>
          <w:rPr>
            <w:color w:val="0000EE"/>
            <w:u w:val="single"/>
          </w:rPr>
          <w:t>2.28–3.21</w:t>
        </w:r>
      </w:hyperlink>
      <w:r>
        <w:rPr>
          <w:lang w:val="fr_FR" w:bidi="fr_FR"/>
        </w:rPr>
        <w:t>) : il va répandre son Esprit sur tous ceux qui lui font confiance, et il va juger les nations qui refusent de reconnaître sa seigneurie.</w:t>
      </w:r>
    </w:p>
    <w:p>
      <w:pPr>
        <w:pStyle w:val="Heading2"/>
      </w:pPr>
      <w:r>
        <w:rPr>
          <w:lang w:val="fr_FR" w:bidi="fr_FR"/>
        </w:rPr>
        <w:t>Date de rédaction</w:t>
      </w:r>
    </w:p>
    <w:p>
      <w:pPr/>
      <w:r>
        <w:rPr>
          <w:lang w:val="fr_FR" w:bidi="fr_FR"/>
        </w:rPr>
      </w:r>
      <w:r>
        <w:rPr>
          <w:lang w:val="fr_FR" w:bidi="fr_FR"/>
        </w:rPr>
        <w:t xml:space="preserve">Nous ne savons pas précisément à quelle époque Joël a exercé son ministère prophétique. Le livre ne mentionne aucun roi sous lequel il aurait prophétisé (voir par ex., </w:t>
      </w:r>
      <w:hyperlink r:id="rId20">
        <w:r>
          <w:rPr>
            <w:lang w:val="fr_FR" w:bidi="fr_FR"/>
          </w:rPr>
          <w:rPr>
            <w:color w:val="0000EE"/>
            <w:u w:val="single"/>
          </w:rPr>
          <w:t>Am 1.1</w:t>
        </w:r>
      </w:hyperlink>
      <w:r>
        <w:rPr>
          <w:lang w:val="fr_FR" w:bidi="fr_FR"/>
        </w:rPr>
        <w:t xml:space="preserve"> ; </w:t>
      </w:r>
      <w:hyperlink r:id="rId21">
        <w:r>
          <w:rPr>
            <w:lang w:val="fr_FR" w:bidi="fr_FR"/>
          </w:rPr>
          <w:rPr>
            <w:color w:val="0000EE"/>
            <w:u w:val="single"/>
          </w:rPr>
          <w:t>Mi 1.1</w:t>
        </w:r>
      </w:hyperlink>
      <w:r>
        <w:rPr>
          <w:lang w:val="fr_FR" w:bidi="fr_FR"/>
        </w:rPr>
        <w:t>), et n’apporte aucun repère historique clair. En conséquence, les spécialistes ont proposé des datations très variées.</w:t>
      </w:r>
    </w:p>
    <w:p>
      <w:pPr/>
      <w:r>
        <w:rPr>
          <w:lang w:val="fr_FR" w:bidi="fr_FR"/>
        </w:rPr>
      </w:r>
      <w:r>
        <w:rPr>
          <w:lang w:val="fr_FR" w:bidi="fr_FR"/>
        </w:rP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hyperlink r:id="rId22">
        <w:r>
          <w:rPr>
            <w:lang w:val="fr_FR" w:bidi="fr_FR"/>
          </w:rPr>
          <w:rPr>
            <w:color w:val="0000EE"/>
            <w:u w:val="single"/>
          </w:rPr>
          <w:t>Jl 2.17</w:t>
        </w:r>
      </w:hyperlink>
      <w:r>
        <w:rPr>
          <w:lang w:val="fr_FR" w:bidi="fr_FR"/>
        </w:rPr>
        <w:t xml:space="preserve"> ; voir aussi </w:t>
      </w:r>
      <w:hyperlink r:id="rId23">
        <w:r>
          <w:rPr>
            <w:lang w:val="fr_FR" w:bidi="fr_FR"/>
          </w:rPr>
          <w:rPr>
            <w:color w:val="0000EE"/>
            <w:u w:val="single"/>
          </w:rPr>
          <w:t>2R 12.1–21</w:t>
        </w:r>
      </w:hyperlink>
      <w:r>
        <w:rPr>
          <w:lang w:val="fr_FR" w:bidi="fr_FR"/>
        </w:rPr>
        <w:t>).</w:t>
      </w:r>
    </w:p>
    <w:p>
      <w:pPr/>
      <w:r>
        <w:rPr>
          <w:lang w:val="fr_FR" w:bidi="fr_FR"/>
        </w:rPr>
      </w:r>
      <w:r>
        <w:rPr>
          <w:lang w:val="fr_FR" w:bidi="fr_FR"/>
        </w:rP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pPr/>
      <w:r>
        <w:rPr>
          <w:lang w:val="fr_FR" w:bidi="fr_FR"/>
        </w:rPr>
      </w:r>
      <w:r>
        <w:rPr>
          <w:lang w:val="fr_FR" w:bidi="fr_FR"/>
        </w:rP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pPr/>
      <w:r>
        <w:rPr>
          <w:lang w:val="fr_FR" w:bidi="fr_FR"/>
        </w:rPr>
      </w:r>
      <w:r>
        <w:rPr>
          <w:lang w:val="fr_FR" w:bidi="fr_FR"/>
        </w:rP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2"/>
      </w:pPr>
      <w:r>
        <w:rPr>
          <w:lang w:val="fr_FR" w:bidi="fr_FR"/>
        </w:rPr>
        <w:t>Signification et message</w:t>
      </w:r>
    </w:p>
    <w:p>
      <w:pPr/>
      <w:r>
        <w:rPr>
          <w:lang w:val="fr_FR" w:bidi="fr_FR"/>
        </w:rPr>
      </w:r>
      <w:r>
        <w:rPr>
          <w:lang w:val="fr_FR" w:bidi="fr_FR"/>
        </w:rP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hyperlink r:id="rId24">
        <w:r>
          <w:rPr>
            <w:lang w:val="fr_FR" w:bidi="fr_FR"/>
          </w:rPr>
          <w:rPr>
            <w:color w:val="0000EE"/>
            <w:u w:val="single"/>
          </w:rPr>
          <w:t>2.11</w:t>
        </w:r>
      </w:hyperlink>
      <w:r>
        <w:rPr>
          <w:lang w:val="fr_FR" w:bidi="fr_FR"/>
        </w:rP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pPr/>
      <w:r>
        <w:rPr>
          <w:lang w:val="fr_FR" w:bidi="fr_FR"/>
        </w:rPr>
      </w:r>
      <w:r>
        <w:rPr>
          <w:lang w:val="fr_FR" w:bidi="fr_FR"/>
        </w:rP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hyperlink r:id="rId25">
        <w:r>
          <w:rPr>
            <w:lang w:val="fr_FR" w:bidi="fr_FR"/>
          </w:rPr>
          <w:rPr>
            <w:color w:val="0000EE"/>
            <w:u w:val="single"/>
          </w:rPr>
          <w:t>Ex 34.6–7</w:t>
        </w:r>
      </w:hyperlink>
      <w:r>
        <w:rPr>
          <w:lang w:val="fr_FR" w:bidi="fr_FR"/>
        </w:rPr>
        <w:t xml:space="preserve">), Joël a transmis l’invitation pleine de grâce de l’Éternel à son peuple : « </w:t>
      </w:r>
      <w:r>
        <w:rPr>
          <w:lang w:val="fr_FR" w:bidi="fr_FR"/>
        </w:rPr>
        <w:t>revenez à l’Éternel, votre Dieu; Car il est compatissant et miséricordieux, Lent à la colère et riche en bonté</w:t>
      </w:r>
      <w:r>
        <w:rPr>
          <w:lang w:val="fr_FR" w:bidi="fr_FR"/>
        </w:rPr>
        <w:t xml:space="preserve"> » (</w:t>
      </w:r>
      <w:hyperlink r:id="rId26">
        <w:r>
          <w:rPr>
            <w:lang w:val="fr_FR" w:bidi="fr_FR"/>
          </w:rPr>
          <w:rPr>
            <w:color w:val="0000EE"/>
            <w:u w:val="single"/>
          </w:rPr>
          <w:t>Jl 2.13</w:t>
        </w:r>
      </w:hyperlink>
      <w:r>
        <w:rPr>
          <w:lang w:val="fr_FR" w:bidi="fr_FR"/>
        </w:rPr>
        <w:t>).</w:t>
      </w:r>
    </w:p>
    <w:p>
      <w:pPr/>
      <w:r>
        <w:rPr>
          <w:lang w:val="fr_FR" w:bidi="fr_FR"/>
        </w:rPr>
      </w:r>
      <w:r>
        <w:rPr>
          <w:lang w:val="fr_FR" w:bidi="fr_FR"/>
        </w:rP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hyperlink r:id="rId27">
        <w:r>
          <w:rPr>
            <w:lang w:val="fr_FR" w:bidi="fr_FR"/>
          </w:rPr>
          <w:rPr>
            <w:color w:val="0000EE"/>
            <w:u w:val="single"/>
          </w:rPr>
          <w:t>Es 1.10–18</w:t>
        </w:r>
      </w:hyperlink>
      <w:r>
        <w:rPr>
          <w:lang w:val="fr_FR" w:bidi="fr_FR"/>
        </w:rPr>
        <w:t xml:space="preserve"> ; </w:t>
      </w:r>
      <w:hyperlink r:id="rId28">
        <w:r>
          <w:rPr>
            <w:lang w:val="fr_FR" w:bidi="fr_FR"/>
          </w:rPr>
          <w:rPr>
            <w:color w:val="0000EE"/>
            <w:u w:val="single"/>
          </w:rPr>
          <w:t>Am 5.21–24</w:t>
        </w:r>
      </w:hyperlink>
      <w:r>
        <w:rPr>
          <w:lang w:val="fr_FR" w:bidi="fr_FR"/>
        </w:rP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hyperlink r:id="rId26">
        <w:r>
          <w:rPr>
            <w:lang w:val="fr_FR" w:bidi="fr_FR"/>
          </w:rPr>
          <w:rPr>
            <w:color w:val="0000EE"/>
            <w:u w:val="single"/>
          </w:rPr>
          <w:t>Jl 2.13</w:t>
        </w:r>
      </w:hyperlink>
      <w:r>
        <w:rPr>
          <w:lang w:val="fr_FR" w:bidi="fr_FR"/>
        </w:rPr>
        <w:t xml:space="preserve">). La solution au culte corrompu n'est pas d'abandonner le culte, mais de s’approcher de Dieu en esprit et en vérité (voir </w:t>
      </w:r>
      <w:hyperlink r:id="rId29">
        <w:r>
          <w:rPr>
            <w:lang w:val="fr_FR" w:bidi="fr_FR"/>
          </w:rPr>
          <w:rPr>
            <w:color w:val="0000EE"/>
            <w:u w:val="single"/>
          </w:rPr>
          <w:t>Jn 4.23–24</w:t>
        </w:r>
      </w:hyperlink>
      <w:r>
        <w:rPr>
          <w:lang w:val="fr_FR" w:bidi="fr_FR"/>
        </w:rPr>
        <w:t>).</w:t>
      </w:r>
    </w:p>
    <w:p>
      <w:pPr/>
      <w:r>
        <w:rPr>
          <w:lang w:val="fr_FR" w:bidi="fr_FR"/>
        </w:rPr>
      </w:r>
      <w:r>
        <w:rPr>
          <w:lang w:val="fr_FR" w:bidi="fr_FR"/>
        </w:rP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hyperlink r:id="rId30">
        <w:r>
          <w:rPr>
            <w:lang w:val="fr_FR" w:bidi="fr_FR"/>
          </w:rPr>
          <w:rPr>
            <w:color w:val="0000EE"/>
            <w:u w:val="single"/>
          </w:rPr>
          <w:t>Jl 1.15</w:t>
        </w:r>
      </w:hyperlink>
      <w:r>
        <w:rPr>
          <w:lang w:val="fr_FR" w:bidi="fr_FR"/>
        </w:rPr>
        <w:t xml:space="preserve"> ; </w:t>
      </w:r>
      <w:hyperlink r:id="rId31">
        <w:r>
          <w:rPr>
            <w:lang w:val="fr_FR" w:bidi="fr_FR"/>
          </w:rPr>
          <w:rPr>
            <w:color w:val="0000EE"/>
            <w:u w:val="single"/>
          </w:rPr>
          <w:t>2.1</w:t>
        </w:r>
      </w:hyperlink>
      <w:r>
        <w:rPr>
          <w:lang w:val="fr_FR" w:bidi="fr_FR"/>
        </w:rP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hyperlink r:id="rId19">
        <w:r>
          <w:rPr>
            <w:lang w:val="fr_FR" w:bidi="fr_FR"/>
          </w:rPr>
          <w:rPr>
            <w:color w:val="0000EE"/>
            <w:u w:val="single"/>
          </w:rPr>
          <w:t>Jl 2.28–3.21</w:t>
        </w:r>
      </w:hyperlink>
      <w:r>
        <w:rPr>
          <w:lang w:val="fr_FR" w:bidi="fr_FR"/>
        </w:rPr>
        <w:t xml:space="preserve"> ; voir </w:t>
      </w:r>
      <w:hyperlink r:id="rId32">
        <w:r>
          <w:rPr>
            <w:lang w:val="fr_FR" w:bidi="fr_FR"/>
          </w:rPr>
          <w:rPr>
            <w:color w:val="0000EE"/>
            <w:u w:val="single"/>
          </w:rPr>
          <w:t>Mt 16.27</w:t>
        </w:r>
      </w:hyperlink>
      <w:r>
        <w:rPr>
          <w:lang w:val="fr_FR" w:bidi="fr_FR"/>
        </w:rPr>
        <w:t xml:space="preserve"> ; </w:t>
      </w:r>
      <w:hyperlink r:id="rId33">
        <w:r>
          <w:rPr>
            <w:lang w:val="fr_FR" w:bidi="fr_FR"/>
          </w:rPr>
          <w:rPr>
            <w:color w:val="0000EE"/>
            <w:u w:val="single"/>
          </w:rPr>
          <w:t>Ac 2.16–40</w:t>
        </w:r>
      </w:hyperlink>
      <w:r>
        <w:rPr>
          <w:lang w:val="fr_FR" w:bidi="fr_FR"/>
        </w:rPr>
        <w:t xml:space="preserve"> ; </w:t>
      </w:r>
      <w:hyperlink r:id="rId34">
        <w:r>
          <w:rPr>
            <w:lang w:val="fr_FR" w:bidi="fr_FR"/>
          </w:rPr>
          <w:rPr>
            <w:color w:val="0000EE"/>
            <w:u w:val="single"/>
          </w:rPr>
          <w:t>Col 2.13–22</w:t>
        </w:r>
      </w:hyperlink>
      <w:r>
        <w:rPr>
          <w:lang w:val="fr_FR" w:bidi="fr_FR"/>
        </w:rPr>
        <w:t xml:space="preserve"> ; </w:t>
      </w:r>
      <w:hyperlink r:id="rId35">
        <w:r>
          <w:rPr>
            <w:lang w:val="fr_FR" w:bidi="fr_FR"/>
          </w:rPr>
          <w:rPr>
            <w:color w:val="0000EE"/>
            <w:u w:val="single"/>
          </w:rPr>
          <w:t>Ap 21–22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