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hyperlink r:id="rId15">
        <w:r>
          <w:rPr>
            <w:lang w:val="fr_FR" w:bidi="fr_FR"/>
          </w:rPr>
          <w:rPr>
            <w:color w:val="0000EE"/>
            <w:u w:val="single"/>
          </w:rPr>
          <w:t>1.1–3</w:t>
        </w:r>
      </w:hyperlink>
      <w:r>
        <w:rPr>
          <w:lang w:val="fr_FR" w:bidi="fr_FR"/>
        </w:rPr>
        <w:t>) et exprime ensuite les souhaits de l'auteur (</w:t>
      </w:r>
      <w:hyperlink r:id="rId16">
        <w:r>
          <w:rPr>
            <w:lang w:val="fr_FR" w:bidi="fr_FR"/>
          </w:rPr>
          <w:rPr>
            <w:color w:val="0000EE"/>
            <w:u w:val="single"/>
          </w:rPr>
          <w:t>1.4–11</w:t>
        </w:r>
      </w:hyperlink>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hyperlink r:id="rId17">
        <w:r>
          <w:rPr>
            <w:lang w:val="fr_FR" w:bidi="fr_FR"/>
          </w:rPr>
          <w:rPr>
            <w:color w:val="0000EE"/>
            <w:u w:val="single"/>
          </w:rPr>
          <w:t>1.1</w:t>
        </w:r>
      </w:hyperlink>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hyperlink r:id="rId17">
        <w:r>
          <w:rPr>
            <w:lang w:val="fr_FR" w:bidi="fr_FR"/>
          </w:rPr>
          <w:rPr>
            <w:color w:val="0000EE"/>
            <w:u w:val="single"/>
          </w:rPr>
          <w:t>1.1</w:t>
        </w:r>
      </w:hyperlink>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hyperlink r:id="rId18">
        <w:r>
          <w:rPr>
            <w:lang w:val="fr_FR" w:bidi="fr_FR"/>
          </w:rPr>
          <w:rPr>
            <w:color w:val="0000EE"/>
            <w:u w:val="single"/>
          </w:rPr>
          <w:t>1P 5.13</w:t>
        </w:r>
      </w:hyperlink>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hyperlink r:id="rId19">
        <w:r>
          <w:rPr>
            <w:lang w:val="fr_FR" w:bidi="fr_FR"/>
          </w:rPr>
          <w:rPr>
            <w:color w:val="0000EE"/>
            <w:u w:val="single"/>
          </w:rPr>
          <w:t>1.5</w:t>
        </w:r>
      </w:hyperlink>
      <w:r>
        <w:rPr>
          <w:lang w:val="fr_FR" w:bidi="fr_FR"/>
        </w:rPr>
        <w:t>). Cet amour s’exprime concrètement par l’obéissance aux commandements de Jésus (</w:t>
      </w:r>
      <w:hyperlink r:id="rId20">
        <w:r>
          <w:rPr>
            <w:lang w:val="fr_FR" w:bidi="fr_FR"/>
          </w:rPr>
          <w:rPr>
            <w:color w:val="0000EE"/>
            <w:u w:val="single"/>
          </w:rPr>
          <w:t>1.6</w:t>
        </w:r>
      </w:hyperlink>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hyperlink r:id="rId21">
        <w:r>
          <w:rPr>
            <w:lang w:val="fr_FR" w:bidi="fr_FR"/>
          </w:rPr>
          <w:rPr>
            <w:color w:val="0000EE"/>
            <w:u w:val="single"/>
          </w:rPr>
          <w:t>Ga 1.6</w:t>
        </w:r>
      </w:hyperlink>
      <w:r>
        <w:rPr>
          <w:lang w:val="fr_FR" w:bidi="fr_FR"/>
        </w:rPr>
        <w:t>), Colossiens (</w:t>
      </w:r>
      <w:hyperlink r:id="rId22">
        <w:r>
          <w:rPr>
            <w:lang w:val="fr_FR" w:bidi="fr_FR"/>
          </w:rPr>
          <w:rPr>
            <w:color w:val="0000EE"/>
            <w:u w:val="single"/>
          </w:rPr>
          <w:t>Col 2.16–23</w:t>
        </w:r>
      </w:hyperlink>
      <w:r>
        <w:rPr>
          <w:lang w:val="fr_FR" w:bidi="fr_FR"/>
        </w:rPr>
        <w:t>), 2 Thessaloniciens (</w:t>
      </w:r>
      <w:hyperlink r:id="rId23">
        <w:r>
          <w:rPr>
            <w:lang w:val="fr_FR" w:bidi="fr_FR"/>
          </w:rPr>
          <w:rPr>
            <w:color w:val="0000EE"/>
            <w:u w:val="single"/>
          </w:rPr>
          <w:t>2Th 2.1–3</w:t>
        </w:r>
      </w:hyperlink>
      <w:r>
        <w:rPr>
          <w:lang w:val="fr_FR" w:bidi="fr_FR"/>
        </w:rPr>
        <w:t>), et 1 Timothée (</w:t>
      </w:r>
      <w:hyperlink r:id="rId24">
        <w:r>
          <w:rPr>
            <w:lang w:val="fr_FR" w:bidi="fr_FR"/>
          </w:rPr>
          <w:rPr>
            <w:color w:val="0000EE"/>
            <w:u w:val="single"/>
          </w:rPr>
          <w:t>1Tm 4.1</w:t>
        </w:r>
      </w:hyperlink>
      <w:r>
        <w:rPr>
          <w:lang w:val="fr_FR" w:bidi="fr_FR"/>
        </w:rPr>
        <w:t xml:space="preserve"> ; </w:t>
      </w:r>
      <w:hyperlink r:id="rId25">
        <w:r>
          <w:rPr>
            <w:lang w:val="fr_FR" w:bidi="fr_FR"/>
          </w:rPr>
          <w:rPr>
            <w:color w:val="0000EE"/>
            <w:u w:val="single"/>
          </w:rPr>
          <w:t>6.20–21</w:t>
        </w:r>
      </w:hyperlink>
      <w:r>
        <w:rPr>
          <w:lang w:val="fr_FR" w:bidi="fr_FR"/>
        </w:rPr>
        <w:t>). De même, Pierre a rédigé sa deuxième épître pour dénoncer les faux enseignants (</w:t>
      </w:r>
      <w:hyperlink r:id="rId26">
        <w:r>
          <w:rPr>
            <w:lang w:val="fr_FR" w:bidi="fr_FR"/>
          </w:rPr>
          <w:rPr>
            <w:color w:val="0000EE"/>
            <w:u w:val="single"/>
          </w:rPr>
          <w:t>2P 2.1–22</w:t>
        </w:r>
      </w:hyperlink>
      <w:r>
        <w:rPr>
          <w:lang w:val="fr_FR" w:bidi="fr_FR"/>
        </w:rPr>
        <w:t>), tout comme Jude (</w:t>
      </w:r>
      <w:hyperlink r:id="rId27">
        <w:r>
          <w:rPr>
            <w:lang w:val="fr_FR" w:bidi="fr_FR"/>
          </w:rPr>
          <w:rPr>
            <w:color w:val="0000EE"/>
            <w:u w:val="single"/>
          </w:rPr>
          <w:t>Jd 1.3–4</w:t>
        </w:r>
      </w:hyperlink>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