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hyperlink r:id="rId15">
        <w:r>
          <w:rPr>
            <w:lang w:val="hi_IN" w:bidi="hi_IN"/>
          </w:rPr>
          <w:rPr>
            <w:color w:val="0000EE"/>
            <w:u w:val="single"/>
          </w:rPr>
          <w:t>1:7</w:t>
        </w:r>
      </w:hyperlink>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6">
        <w:r>
          <w:rPr>
            <w:lang w:val="hi_IN" w:bidi="hi_IN"/>
          </w:rPr>
          <w:rPr>
            <w:color w:val="0000EE"/>
            <w:u w:val="single"/>
          </w:rPr>
          <w:t>प्रेरि 19:10</w:t>
        </w:r>
      </w:hyperlink>
      <w:r>
        <w:rPr>
          <w:lang w:val="hi_IN" w:bidi="hi_IN"/>
        </w:rPr>
        <w:t>)। यद्यपि पौलुस ने कुलुस्से का दौरा नहीं किया था (</w:t>
      </w:r>
      <w:hyperlink r:id="rId17">
        <w:r>
          <w:rPr>
            <w:lang w:val="hi_IN" w:bidi="hi_IN"/>
          </w:rPr>
          <w:rPr>
            <w:color w:val="0000EE"/>
            <w:u w:val="single"/>
          </w:rPr>
          <w:t>कुल 2:1</w:t>
        </w:r>
      </w:hyperlink>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hyperlink r:id="rId18">
        <w:r>
          <w:rPr>
            <w:lang w:val="hi_IN" w:bidi="hi_IN"/>
          </w:rPr>
          <w:rPr>
            <w:color w:val="0000EE"/>
            <w:u w:val="single"/>
          </w:rPr>
          <w:t>4:12</w:t>
        </w:r>
      </w:hyperlink>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hyperlink r:id="rId19">
        <w:r>
          <w:rPr>
            <w:lang w:val="hi_IN" w:bidi="hi_IN"/>
          </w:rPr>
          <w:rPr>
            <w:color w:val="0000EE"/>
            <w:u w:val="single"/>
          </w:rPr>
          <w:t>2:15</w:t>
        </w:r>
      </w:hyperlink>
      <w:r>
        <w:rPr>
          <w:lang w:val="hi_IN" w:bidi="hi_IN"/>
        </w:rPr>
        <w:t>) और "इस संसार की आत्मिक सामर्थों" (</w:t>
      </w:r>
      <w:hyperlink r:id="rId20">
        <w:r>
          <w:rPr>
            <w:lang w:val="hi_IN" w:bidi="hi_IN"/>
          </w:rPr>
          <w:rPr>
            <w:color w:val="0000EE"/>
            <w:u w:val="single"/>
          </w:rPr>
          <w:t>2:8,</w:t>
        </w:r>
      </w:hyperlink>
      <w:hyperlink r:id="rId21">
        <w:r>
          <w:rPr>
            <w:lang w:val="hi_IN" w:bidi="hi_IN"/>
          </w:rPr>
          <w:rPr>
            <w:color w:val="0000EE"/>
            <w:u w:val="single"/>
          </w:rPr>
          <w:t>20</w:t>
        </w:r>
      </w:hyperlink>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hyperlink r:id="rId22">
        <w:r>
          <w:rPr>
            <w:lang w:val="hi_IN" w:bidi="hi_IN"/>
          </w:rPr>
          <w:rPr>
            <w:color w:val="0000EE"/>
            <w:u w:val="single"/>
          </w:rPr>
          <w:t>अध्याय 1–2</w:t>
        </w:r>
      </w:hyperlink>
      <w:r>
        <w:rPr>
          <w:lang w:val="hi_IN" w:bidi="hi_IN"/>
        </w:rPr>
        <w:t xml:space="preserve"> धर्मशास्त्र पर केंद्रित हैं और </w:t>
      </w:r>
      <w:hyperlink r:id="rId23">
        <w:r>
          <w:rPr>
            <w:lang w:val="hi_IN" w:bidi="hi_IN"/>
          </w:rPr>
          <w:rPr>
            <w:color w:val="0000EE"/>
            <w:u w:val="single"/>
          </w:rPr>
          <w:t>अध्याय 3–4</w:t>
        </w:r>
      </w:hyperlink>
      <w:r>
        <w:rPr>
          <w:lang w:val="hi_IN" w:bidi="hi_IN"/>
        </w:rPr>
        <w:t xml:space="preserve"> व्यावहारिक विषयों पर।</w:t>
      </w:r>
    </w:p>
    <w:p>
      <w:pPr/>
      <w:r>
        <w:rPr>
          <w:lang w:val="hi_IN" w:bidi="hi_IN"/>
        </w:rPr>
      </w:r>
      <w:r>
        <w:rPr>
          <w:lang w:val="hi_IN" w:bidi="hi_IN"/>
        </w:rPr>
        <w:t>पौलुस के अभिवादन (</w:t>
      </w:r>
      <w:hyperlink r:id="rId24">
        <w:r>
          <w:rPr>
            <w:lang w:val="hi_IN" w:bidi="hi_IN"/>
          </w:rPr>
          <w:rPr>
            <w:color w:val="0000EE"/>
            <w:u w:val="single"/>
          </w:rPr>
          <w:t>1:1–2</w:t>
        </w:r>
      </w:hyperlink>
      <w:r>
        <w:rPr>
          <w:lang w:val="hi_IN" w:bidi="hi_IN"/>
        </w:rPr>
        <w:t>) के बाद धन्यवाद का भाग (</w:t>
      </w:r>
      <w:hyperlink r:id="rId25">
        <w:r>
          <w:rPr>
            <w:lang w:val="hi_IN" w:bidi="hi_IN"/>
          </w:rPr>
          <w:rPr>
            <w:color w:val="0000EE"/>
            <w:u w:val="single"/>
          </w:rPr>
          <w:t>1:3–14</w:t>
        </w:r>
      </w:hyperlink>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hyperlink r:id="rId26">
        <w:r>
          <w:rPr>
            <w:lang w:val="hi_IN" w:bidi="hi_IN"/>
          </w:rPr>
          <w:rPr>
            <w:color w:val="0000EE"/>
            <w:u w:val="single"/>
          </w:rPr>
          <w:t>1:15–20</w:t>
        </w:r>
      </w:hyperlink>
      <w:r>
        <w:rPr>
          <w:lang w:val="hi_IN" w:bidi="hi_IN"/>
        </w:rPr>
        <w:t>), फिर एक व्यावहारिक अनुप्रयोग करते हैं (</w:t>
      </w:r>
      <w:hyperlink r:id="rId27">
        <w:r>
          <w:rPr>
            <w:lang w:val="hi_IN" w:bidi="hi_IN"/>
          </w:rPr>
          <w:rPr>
            <w:color w:val="0000EE"/>
            <w:u w:val="single"/>
          </w:rPr>
          <w:t>1:21–23</w:t>
        </w:r>
      </w:hyperlink>
      <w:r>
        <w:rPr>
          <w:lang w:val="hi_IN" w:bidi="hi_IN"/>
        </w:rPr>
        <w:t>), इससे पहले कि वह अन्यजातियों के प्रेरित के रूप में अपनी सेवकाई पर चर्चा करें (</w:t>
      </w:r>
      <w:hyperlink r:id="rId28">
        <w:r>
          <w:rPr>
            <w:lang w:val="hi_IN" w:bidi="hi_IN"/>
          </w:rPr>
          <w:rPr>
            <w:color w:val="0000EE"/>
            <w:u w:val="single"/>
          </w:rPr>
          <w:t>1:24–2:5</w:t>
        </w:r>
      </w:hyperlink>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hyperlink r:id="rId29">
        <w:r>
          <w:rPr>
            <w:lang w:val="hi_IN" w:bidi="hi_IN"/>
          </w:rPr>
          <w:rPr>
            <w:color w:val="0000EE"/>
            <w:u w:val="single"/>
          </w:rPr>
          <w:t>2:6–15</w:t>
        </w:r>
      </w:hyperlink>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hyperlink r:id="rId30">
        <w:r>
          <w:rPr>
            <w:lang w:val="hi_IN" w:bidi="hi_IN"/>
          </w:rPr>
          <w:rPr>
            <w:color w:val="0000EE"/>
            <w:u w:val="single"/>
          </w:rPr>
          <w:t>2:16–23</w:t>
        </w:r>
      </w:hyperlink>
      <w:r>
        <w:rPr>
          <w:lang w:val="hi_IN" w:bidi="hi_IN"/>
        </w:rPr>
        <w:t>)।</w:t>
      </w:r>
    </w:p>
    <w:p>
      <w:pPr/>
      <w:r>
        <w:rPr>
          <w:lang w:val="hi_IN" w:bidi="hi_IN"/>
        </w:rPr>
      </w:r>
      <w:r>
        <w:rPr>
          <w:lang w:val="hi_IN" w:bidi="hi_IN"/>
        </w:rPr>
        <w:t>पत्र के अधिक व्यावहारिक भाग (</w:t>
      </w:r>
      <w:hyperlink r:id="rId23">
        <w:r>
          <w:rPr>
            <w:lang w:val="hi_IN" w:bidi="hi_IN"/>
          </w:rPr>
          <w:rPr>
            <w:color w:val="0000EE"/>
            <w:u w:val="single"/>
          </w:rPr>
          <w:t>अध्याय 3–4</w:t>
        </w:r>
      </w:hyperlink>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hyperlink r:id="rId31">
        <w:r>
          <w:rPr>
            <w:lang w:val="hi_IN" w:bidi="hi_IN"/>
          </w:rPr>
          <w:rPr>
            <w:color w:val="0000EE"/>
            <w:u w:val="single"/>
          </w:rPr>
          <w:t>3:1–11</w:t>
        </w:r>
      </w:hyperlink>
      <w:r>
        <w:rPr>
          <w:lang w:val="hi_IN" w:bidi="hi_IN"/>
        </w:rPr>
        <w:t>)। इसके बाद पौलुस मसीही समाज (</w:t>
      </w:r>
      <w:hyperlink r:id="rId32">
        <w:r>
          <w:rPr>
            <w:lang w:val="hi_IN" w:bidi="hi_IN"/>
          </w:rPr>
          <w:rPr>
            <w:color w:val="0000EE"/>
            <w:u w:val="single"/>
          </w:rPr>
          <w:t>3:12–17</w:t>
        </w:r>
      </w:hyperlink>
      <w:r>
        <w:rPr>
          <w:lang w:val="hi_IN" w:bidi="hi_IN"/>
        </w:rPr>
        <w:t>) और पारिवारिक जीवन (</w:t>
      </w:r>
      <w:hyperlink r:id="rId33">
        <w:r>
          <w:rPr>
            <w:lang w:val="hi_IN" w:bidi="hi_IN"/>
          </w:rPr>
          <w:rPr>
            <w:color w:val="0000EE"/>
            <w:u w:val="single"/>
          </w:rPr>
          <w:t>3:18–4:1</w:t>
        </w:r>
      </w:hyperlink>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hyperlink r:id="rId34">
        <w:r>
          <w:rPr>
            <w:lang w:val="hi_IN" w:bidi="hi_IN"/>
          </w:rPr>
          <w:rPr>
            <w:color w:val="0000EE"/>
            <w:u w:val="single"/>
          </w:rPr>
          <w:t>4:2–6</w:t>
        </w:r>
      </w:hyperlink>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hyperlink r:id="rId35">
        <w:r>
          <w:rPr>
            <w:lang w:val="hi_IN" w:bidi="hi_IN"/>
          </w:rPr>
          <w:rPr>
            <w:color w:val="0000EE"/>
            <w:u w:val="single"/>
          </w:rPr>
          <w:t>4:7–18</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hyperlink r:id="rId36">
        <w:r>
          <w:rPr>
            <w:lang w:val="hi_IN" w:bidi="hi_IN"/>
          </w:rPr>
          <w:rPr>
            <w:color w:val="0000EE"/>
            <w:u w:val="single"/>
          </w:rPr>
          <w:t>4:18</w:t>
        </w:r>
      </w:hyperlink>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7">
        <w:r>
          <w:rPr>
            <w:lang w:val="hi_IN" w:bidi="hi_IN"/>
          </w:rPr>
          <w:rPr>
            <w:color w:val="0000EE"/>
            <w:u w:val="single"/>
          </w:rPr>
          <w:t>4:9</w:t>
        </w:r>
      </w:hyperlink>
      <w:r>
        <w:rPr>
          <w:lang w:val="hi_IN" w:bidi="hi_IN"/>
        </w:rPr>
        <w:t>)। कुलुस्सियों (</w:t>
      </w:r>
      <w:hyperlink r:id="rId38">
        <w:r>
          <w:rPr>
            <w:lang w:val="hi_IN" w:bidi="hi_IN"/>
          </w:rPr>
          <w:rPr>
            <w:color w:val="0000EE"/>
            <w:u w:val="single"/>
          </w:rPr>
          <w:t>4:7</w:t>
        </w:r>
      </w:hyperlink>
      <w:r>
        <w:rPr>
          <w:lang w:val="hi_IN" w:bidi="hi_IN"/>
        </w:rPr>
        <w:t>) और इफिसियों (</w:t>
      </w:r>
      <w:hyperlink r:id="rId39">
        <w:r>
          <w:rPr>
            <w:lang w:val="hi_IN" w:bidi="hi_IN"/>
          </w:rPr>
          <w:rPr>
            <w:color w:val="0000EE"/>
            <w:u w:val="single"/>
          </w:rPr>
          <w:t>इफि 6:21</w:t>
        </w:r>
      </w:hyperlink>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hyperlink r:id="rId40">
        <w:r>
          <w:rPr>
            <w:lang w:val="hi_IN" w:bidi="hi_IN"/>
          </w:rPr>
          <w:rPr>
            <w:color w:val="0000EE"/>
            <w:u w:val="single"/>
          </w:rPr>
          <w:t>2:16</w:t>
        </w:r>
      </w:hyperlink>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hyperlink r:id="rId41">
        <w:r>
          <w:rPr>
            <w:lang w:val="hi_IN" w:bidi="hi_IN"/>
          </w:rPr>
          <w:rPr>
            <w:color w:val="0000EE"/>
            <w:u w:val="single"/>
          </w:rPr>
          <w:t>2:19</w:t>
        </w:r>
      </w:hyperlink>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hyperlink r:id="rId42">
        <w:r>
          <w:rPr>
            <w:lang w:val="hi_IN" w:bidi="hi_IN"/>
          </w:rPr>
          <w:rPr>
            <w:color w:val="0000EE"/>
            <w:u w:val="single"/>
          </w:rPr>
          <w:t>2:23</w:t>
        </w:r>
      </w:hyperlink>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hyperlink r:id="rId30">
        <w:r>
          <w:rPr>
            <w:lang w:val="hi_IN" w:bidi="hi_IN"/>
          </w:rPr>
          <w:rPr>
            <w:color w:val="0000EE"/>
            <w:u w:val="single"/>
          </w:rPr>
          <w:t>2:16–23</w:t>
        </w:r>
      </w:hyperlink>
      <w:r>
        <w:rPr>
          <w:lang w:val="hi_IN" w:bidi="hi_IN"/>
        </w:rPr>
        <w:t>)। इसके बजाय, सभी मसीहियों को मसीह की मृत्यु और पुनरुत्थान के साथ अपनी पहचान बनानी चाहिए (</w:t>
      </w:r>
      <w:hyperlink r:id="rId43">
        <w:r>
          <w:rPr>
            <w:lang w:val="hi_IN" w:bidi="hi_IN"/>
          </w:rPr>
          <w:rPr>
            <w:color w:val="0000EE"/>
            <w:u w:val="single"/>
          </w:rPr>
          <w:t>2:11</w:t>
        </w:r>
      </w:hyperlink>
      <w:r>
        <w:rPr>
          <w:lang w:val="hi_IN" w:bidi="hi_IN"/>
        </w:rPr>
        <w:t xml:space="preserve">, </w:t>
      </w:r>
      <w:hyperlink r:id="rId44">
        <w:r>
          <w:rPr>
            <w:lang w:val="hi_IN" w:bidi="hi_IN"/>
          </w:rPr>
          <w:rPr>
            <w:color w:val="0000EE"/>
            <w:u w:val="single"/>
          </w:rPr>
          <w:t>19–20</w:t>
        </w:r>
      </w:hyperlink>
      <w:r>
        <w:rPr>
          <w:lang w:val="hi_IN" w:bidi="hi_IN"/>
        </w:rPr>
        <w:t xml:space="preserve">; </w:t>
      </w:r>
      <w:hyperlink r:id="rId45">
        <w:r>
          <w:rPr>
            <w:lang w:val="hi_IN" w:bidi="hi_IN"/>
          </w:rPr>
          <w:rPr>
            <w:color w:val="0000EE"/>
            <w:u w:val="single"/>
          </w:rPr>
          <w:t>3:1–4</w:t>
        </w:r>
      </w:hyperlink>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