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ECC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Eclesiastes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Eclesiastes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Eclesiastes nos desafia a refletir profundamente sobre questões fundamentais. A vida e tudo o que ela contém parecem ser um vapor sem sentido, presente hoje e ausente amanhã. Mesmo assim, a vida não precisa ser sem propósito. Eclesiastes recomenda sabedoria, viver com retidão, encontrar propósito ao lembrar do nosso Criador e guardar os mandamentos de Deus. Assim, podemos experimentar alegria na vida que Deus nos deu.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Quando Israel vivia seus anos dourados de paz, após Davi ter estabelecido seu império, Salomão dedicou tempo e energia para aprimorar a cultura. Ele desenvolveu o comércio internacional, a diplomacia e a agricultura, além de construir cidades, fortalezas e o Templo. Ele elevou sua nação culturalmente com prosperidade material e literatura profunda. Em vez de guerrear contra outras nações, Salomão as envolveu e suas literaturas, incorporando seus modos de expressão cultural na relação de Israel com o Senhor. As falhas de Salomão são bem conhecidas, mas ele realizou muito com sua sabedoria e deixou suas instruções sobre como gerenciar a vida sabiamente.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Eclesiastes é um discurso ou conjunto de discursos que explora o valor da vida e tudo o que ela contém, além do que as pessoas devem fazer. A coleção é delimitada pelo breve prólogo do editor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) e seu epílogo e conclusão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12.9–14</w:t>
        </w:r>
      </w:hyperlink>
      <w:r>
        <w:rPr>
          <w:lang w:val="pt_PT" w:bidi="pt_PT"/>
        </w:rPr>
        <w:t>). Dentro deste contexto estão as palavras do “Pregador” (hebraico Qoheleth, como a maioria dos comentaristas se refere a ele).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Pregador explora uma ampla gama de tópicos, como tempo, trabalho, sabedoria, prazer e injustiça. Ele retorna repetidamente a um tema principal: a vida e tudo o que ela contém é </w:t>
      </w:r>
      <w:r>
        <w:rPr>
          <w:i/>
          <w:lang w:val="pt_PT" w:bidi="pt_PT"/>
        </w:rPr>
        <w:t>hebel</w:t>
      </w:r>
      <w:r>
        <w:rPr>
          <w:lang w:val="pt_PT" w:bidi="pt_PT"/>
        </w:rPr>
        <w:t xml:space="preserve"> (“vapor”, muitas vezes traduzido como “sem sentido”). Ele discute como os humanos devem lidar com as circunstâncias da vida em um mundo que está sob o governo soberano de Deus. Esta discussão é resumida pelo editor no final do livro: “Aqui está agora a minha conclusão final: tema a Deus e obedeça aos seus mandamentos, pois este é o dever de todos. Deus nos julgará por tudo o que fazemos, incluindo cada coisa secreta, seja boa ou má”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12.13–14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 e destinatários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orador principal é identificado como um rei, como "o Pregador", e como filho de Davi (veja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,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12</w:t>
        </w:r>
      </w:hyperlink>
      <w:r>
        <w:rPr>
          <w:lang w:val="pt_PT" w:bidi="pt_PT"/>
        </w:rPr>
        <w:t>,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16</w:t>
        </w:r>
      </w:hyperlink>
      <w:r>
        <w:rPr>
          <w:lang w:val="pt_PT" w:bidi="pt_PT"/>
        </w:rPr>
        <w:t xml:space="preserve">;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2.7</w:t>
        </w:r>
      </w:hyperlink>
      <w:r>
        <w:rPr>
          <w:lang w:val="pt_PT" w:bidi="pt_PT"/>
        </w:rPr>
        <w:t>,</w:t>
      </w:r>
      <w:hyperlink r:id="rId21">
        <w:r>
          <w:rPr>
            <w:lang w:val="pt_PT" w:bidi="pt_PT"/>
          </w:rPr>
          <w:rPr>
            <w:color w:val="0000EE"/>
            <w:u w:val="single"/>
          </w:rPr>
          <w:t>9</w:t>
        </w:r>
      </w:hyperlink>
      <w:r>
        <w:rPr>
          <w:lang w:val="pt_PT" w:bidi="pt_PT"/>
        </w:rPr>
        <w:t>); esses rótulos indicam fortemente Salomão. Seu discurso é enquadrado dentro dos comentários de abertura e fechamento de um editor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 xml:space="preserve">;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12.9–14</w:t>
        </w:r>
      </w:hyperlink>
      <w:r>
        <w:rPr>
          <w:lang w:val="pt_PT" w:bidi="pt_PT"/>
        </w:rPr>
        <w:t>), que reverencia o sábio Pregador e acrescenta um pouco de seu próprio conselho útil.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termo traduzido como “o Pregador” (hebraico Qoheleth) significa literalmente “[aquele que] reúne uma assembleia ou congregação”. Esta ideia é expressa no título grego do livro, Eclesiastes (do grego ekklēsia, “assembleia, congregação”). Em pelo menos uma ocasião, Salomão dirigiu-se a uma assembleia de líderes e representantes das tribos de Israel (veja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2Cr 5.2–7.7</w:t>
        </w:r>
      </w:hyperlink>
      <w:r>
        <w:rPr>
          <w:lang w:val="pt_PT" w:bidi="pt_PT"/>
        </w:rPr>
        <w:t>). Também nos é dito que muitos reis e embaixadores vieram ouvir Salomão falar por causa de sua sabedoria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1Rs 4.34</w:t>
        </w:r>
      </w:hyperlink>
      <w:r>
        <w:rPr>
          <w:lang w:val="pt_PT" w:bidi="pt_PT"/>
        </w:rPr>
        <w:t xml:space="preserve">;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10.23–24</w:t>
        </w:r>
      </w:hyperlink>
      <w:r>
        <w:rPr>
          <w:lang w:val="pt_PT" w:bidi="pt_PT"/>
        </w:rPr>
        <w:t>). Talvez o conteúdo de Eclesiastes tenha sido apresentado publicamente em uma ou mais dessas ocasiões.</w:t>
      </w:r>
    </w:p>
    <w:p>
      <w:pPr>
        <w:pStyle w:val="Heading2"/>
      </w:pPr>
      <w:r>
        <w:rPr>
          <w:lang w:val="pt_PT" w:bidi="pt_PT"/>
        </w:rPr>
        <w:t>Eclesiastes como literatura de sabedoria</w:t>
      </w:r>
    </w:p>
    <w:p>
      <w:pPr/>
      <w:r>
        <w:rPr>
          <w:lang w:val="pt_PT" w:bidi="pt_PT"/>
        </w:rPr>
      </w:r>
      <w:r>
        <w:rPr>
          <w:lang w:val="pt_PT" w:bidi="pt_PT"/>
        </w:rPr>
        <w:t>Eclesiastes é um dos livros de sabedoria, junto com Jó e Provérbios. A literatura de sabedoria enfatiza agradar a Deus além dos requisitos da lei. Esses livros identificam maneiras para o povo de Deus ser bem-sucedido como indivíduos e melhorar o sucesso geral da sociedade. O Pregador em Eclesiastes fala da sabedoria como um entendimento geral de como Deus e o mundo funcionam, aprendido através de uma investigação ao longo da vida. Suas conclusões são o tema de sua exposição.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Neste discurso, o Pregador aborda a questão mais significativa da vida: Algo é, em última análise, significativo? Se somos uma sombra momentânea ou um sopro passageiro, como nossas vidas podem ter sentido?</w:t>
      </w:r>
    </w:p>
    <w:p>
      <w:pPr/>
      <w:r>
        <w:rPr>
          <w:lang w:val="pt_PT" w:bidi="pt_PT"/>
        </w:rPr>
      </w:r>
      <w:r>
        <w:rPr>
          <w:lang w:val="pt_PT" w:bidi="pt_PT"/>
        </w:rPr>
        <w:t>O professor contextualiza essa questão filosófica no mundo real do governo e da vida cotidiana, através dos quais administradores e cidadãos comuns devem navegar. Sua mensagem é unificada, e o editor resume suas implicações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12.13–14</w:t>
        </w:r>
      </w:hyperlink>
      <w:r>
        <w:rPr>
          <w:lang w:val="pt_PT" w:bidi="pt_PT"/>
        </w:rPr>
        <w:t>): A vida e tudo o que ela contém é passageira e aparentemente repleta de futilidade. Tudo neste mundo é temporário, e as frustrações da vida podem levar à conclusão de que ela é sem sentido. O que fazemos não dura, e não podemos encontrar significado no mundo em si. Logo morreremos e seremos esquecidos, então devemos lembrar quão curtas são nossas vidas e aproveitá-las enquanto podemos. Mas essas realidades de um mundo caído não precisam gerar desespero porque também vivemos em um mundo que é governado por Deus, e ele tem significado e propósito em relação a ele. Devemos nos concentrar em guardar seus mandamentos e viver para agradá-lo, pois em breve estaremos diante dele para julgamento.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de Eclesiastes está em lidar e até prosperar nesta vida, apesar de sua brevidade e aparente futilidade. Embora não possamos compreender todas as ações de Deus ou o propósito de nossas vidas, Eclesiastes nos assegura que nosso soberano Deus tem uma mão forte em tudo o que acontece, tanto positivo quanto trágico. Aqueles que confiam em Deus verão a aparente futilidade da vida como um incentivo para buscar diligente e sabiamente o que puderem enquanto estão vivos e para desfrutar dos bons presentes de Deus no processo.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ccl1:1" TargetMode="External"/><Relationship Id="rId16" Type="http://schemas.openxmlformats.org/officeDocument/2006/relationships/hyperlink" Target="https://ref.ly/Eccl12:9-Eccl12:14" TargetMode="External"/><Relationship Id="rId17" Type="http://schemas.openxmlformats.org/officeDocument/2006/relationships/hyperlink" Target="https://ref.ly/Eccl12:13-Eccl12:14" TargetMode="External"/><Relationship Id="rId18" Type="http://schemas.openxmlformats.org/officeDocument/2006/relationships/hyperlink" Target="https://ref.ly/Eccl1:12" TargetMode="External"/><Relationship Id="rId19" Type="http://schemas.openxmlformats.org/officeDocument/2006/relationships/hyperlink" Target="https://ref.ly/Eccl1:16" TargetMode="External"/><Relationship Id="rId20" Type="http://schemas.openxmlformats.org/officeDocument/2006/relationships/hyperlink" Target="https://ref.ly/Eccl2:7" TargetMode="External"/><Relationship Id="rId21" Type="http://schemas.openxmlformats.org/officeDocument/2006/relationships/hyperlink" Target="https://ref.ly/Eccl2:9" TargetMode="External"/><Relationship Id="rId22" Type="http://schemas.openxmlformats.org/officeDocument/2006/relationships/hyperlink" Target="https://ref.ly/2Chr5:2-2Chr7:7" TargetMode="External"/><Relationship Id="rId23" Type="http://schemas.openxmlformats.org/officeDocument/2006/relationships/hyperlink" Target="https://ref.ly/1Kgs4:34" TargetMode="External"/><Relationship Id="rId24" Type="http://schemas.openxmlformats.org/officeDocument/2006/relationships/hyperlink" Target="https://ref.ly/1Kgs10:23-1Kgs10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