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5">
        <w:r>
          <w:rPr>
            <w:lang w:val="pt_PT" w:bidi="pt_PT"/>
          </w:rPr>
          <w:rPr>
            <w:color w:val="0000EE"/>
            <w:u w:val="single"/>
          </w:rPr>
          <w:t>5.1–13</w:t>
        </w:r>
      </w:hyperlink>
      <w:r>
        <w:rPr>
          <w:lang w:val="pt_PT" w:bidi="pt_PT"/>
        </w:rPr>
        <w:t xml:space="preserve">; </w:t>
      </w:r>
      <w:hyperlink r:id="rId16">
        <w:r>
          <w:rPr>
            <w:lang w:val="pt_PT" w:bidi="pt_PT"/>
          </w:rPr>
          <w:rPr>
            <w:color w:val="0000EE"/>
            <w:u w:val="single"/>
          </w:rPr>
          <w:t>6.12–20</w:t>
        </w:r>
      </w:hyperlink>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7">
        <w:r>
          <w:rPr>
            <w:lang w:val="pt_PT" w:bidi="pt_PT"/>
          </w:rPr>
          <w:rPr>
            <w:color w:val="0000EE"/>
            <w:u w:val="single"/>
          </w:rPr>
          <w:t>1.10–12</w:t>
        </w:r>
      </w:hyperlink>
      <w:r>
        <w:rPr>
          <w:lang w:val="pt_PT" w:bidi="pt_PT"/>
        </w:rPr>
        <w:t xml:space="preserve">; </w:t>
      </w:r>
      <w:hyperlink r:id="rId18">
        <w:r>
          <w:rPr>
            <w:lang w:val="pt_PT" w:bidi="pt_PT"/>
          </w:rPr>
          <w:rPr>
            <w:color w:val="0000EE"/>
            <w:u w:val="single"/>
          </w:rPr>
          <w:t>3.1–4</w:t>
        </w:r>
      </w:hyperlink>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9">
        <w:r>
          <w:rPr>
            <w:lang w:val="pt_PT" w:bidi="pt_PT"/>
          </w:rPr>
          <w:rPr>
            <w:color w:val="0000EE"/>
            <w:u w:val="single"/>
          </w:rPr>
          <w:t>At 18.1–17</w:t>
        </w:r>
      </w:hyperlink>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hyperlink r:id="rId20">
        <w:r>
          <w:rPr>
            <w:lang w:val="pt_PT" w:bidi="pt_PT"/>
          </w:rPr>
          <w:rPr>
            <w:color w:val="0000EE"/>
            <w:u w:val="single"/>
          </w:rPr>
          <w:t>1.1–4.21</w:t>
        </w:r>
      </w:hyperlink>
      <w:r>
        <w:rPr>
          <w:lang w:val="pt_PT" w:bidi="pt_PT"/>
        </w:rPr>
        <w:t>)</w:t>
      </w:r>
    </w:p>
    <w:p>
      <w:pPr>
        <w:pStyle w:val="ListBullet"/>
        <w:spacing w:line="240" w:lineRule="auto"/>
        <w:ind w:left="720"/>
      </w:pPr>
      <w:r>
        <w:rPr>
          <w:lang w:val="pt_PT" w:bidi="pt_PT"/>
        </w:rPr>
      </w:r>
      <w:r>
        <w:rPr>
          <w:lang w:val="pt_PT" w:bidi="pt_PT"/>
        </w:rPr>
        <w:t>Um caso flagrante de imoralidade sexual na igreja (</w:t>
      </w:r>
      <w:hyperlink r:id="rId15">
        <w:r>
          <w:rPr>
            <w:lang w:val="pt_PT" w:bidi="pt_PT"/>
          </w:rPr>
          <w:rPr>
            <w:color w:val="0000EE"/>
            <w:u w:val="single"/>
          </w:rPr>
          <w:t>5.1–13</w:t>
        </w:r>
      </w:hyperlink>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hyperlink r:id="rId21">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Problemas de imoralidade sexual (</w:t>
      </w:r>
      <w:hyperlink r:id="rId21">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hyperlink r:id="rId22">
        <w:r>
          <w:rPr>
            <w:lang w:val="pt_PT" w:bidi="pt_PT"/>
          </w:rPr>
          <w:rPr>
            <w:color w:val="0000EE"/>
            <w:u w:val="single"/>
          </w:rPr>
          <w:t>7.1–40</w:t>
        </w:r>
      </w:hyperlink>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hyperlink r:id="rId23">
        <w:r>
          <w:rPr>
            <w:lang w:val="pt_PT" w:bidi="pt_PT"/>
          </w:rPr>
          <w:rPr>
            <w:color w:val="0000EE"/>
            <w:u w:val="single"/>
          </w:rPr>
          <w:t>8.1–10.33</w:t>
        </w:r>
      </w:hyperlink>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hyperlink r:id="rId24">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hyperlink r:id="rId24">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hyperlink r:id="rId25">
        <w:r>
          <w:rPr>
            <w:lang w:val="pt_PT" w:bidi="pt_PT"/>
          </w:rPr>
          <w:rPr>
            <w:color w:val="0000EE"/>
            <w:u w:val="single"/>
          </w:rPr>
          <w:t>12.1–14.40</w:t>
        </w:r>
      </w:hyperlink>
      <w:r>
        <w:rPr>
          <w:lang w:val="pt_PT" w:bidi="pt_PT"/>
        </w:rPr>
        <w:t>)</w:t>
      </w:r>
    </w:p>
    <w:p>
      <w:pPr>
        <w:pStyle w:val="ListBullet"/>
        <w:spacing w:line="240" w:lineRule="auto"/>
        <w:ind w:left="720"/>
      </w:pPr>
      <w:r>
        <w:rPr>
          <w:lang w:val="pt_PT" w:bidi="pt_PT"/>
        </w:rPr>
      </w:r>
      <w:r>
        <w:rPr>
          <w:lang w:val="pt_PT" w:bidi="pt_PT"/>
        </w:rPr>
        <w:t>Ceticismo sobre uma futura ressurreição dos mortos (</w:t>
      </w:r>
      <w:hyperlink r:id="rId26">
        <w:r>
          <w:rPr>
            <w:lang w:val="pt_PT" w:bidi="pt_PT"/>
          </w:rPr>
          <w:rPr>
            <w:color w:val="0000EE"/>
            <w:u w:val="single"/>
          </w:rPr>
          <w:t>15.1–58</w:t>
        </w:r>
      </w:hyperlink>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hyperlink r:id="rId27">
        <w:r>
          <w:rPr>
            <w:lang w:val="pt_PT" w:bidi="pt_PT"/>
          </w:rPr>
          <w:rPr>
            <w:color w:val="0000EE"/>
            <w:u w:val="single"/>
          </w:rPr>
          <w:t>14.34–35</w:t>
        </w:r>
      </w:hyperlink>
      <w:r>
        <w:rPr>
          <w:lang w:val="pt_PT" w:bidi="pt_PT"/>
        </w:rPr>
        <w:t xml:space="preserve"> (veja a nota de estudo lá). Em linha com a prática comum do mundo antigo, Paulo usou um amanuense (secretário) para fazer a escrita real da carta (veja </w:t>
      </w:r>
      <w:hyperlink r:id="rId28">
        <w:r>
          <w:rPr>
            <w:lang w:val="pt_PT" w:bidi="pt_PT"/>
          </w:rPr>
          <w:rPr>
            <w:color w:val="0000EE"/>
            <w:u w:val="single"/>
          </w:rPr>
          <w:t>16.21</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hyperlink r:id="rId29">
        <w:r>
          <w:rPr>
            <w:lang w:val="pt_PT" w:bidi="pt_PT"/>
          </w:rPr>
          <w:rPr>
            <w:color w:val="0000EE"/>
            <w:u w:val="single"/>
          </w:rPr>
          <w:t>At 19.1–41</w:t>
        </w:r>
      </w:hyperlink>
      <w:r>
        <w:rPr>
          <w:lang w:val="pt_PT" w:bidi="pt_PT"/>
        </w:rPr>
        <w:t xml:space="preserve">). Paulo havia escrito uma carta anterior à igreja em Corinto (veja </w:t>
      </w:r>
      <w:hyperlink r:id="rId30">
        <w:r>
          <w:rPr>
            <w:lang w:val="pt_PT" w:bidi="pt_PT"/>
          </w:rPr>
          <w:rPr>
            <w:color w:val="0000EE"/>
            <w:u w:val="single"/>
          </w:rPr>
          <w:t>1Co 5.9</w:t>
        </w:r>
      </w:hyperlink>
      <w:r>
        <w:rPr>
          <w:lang w:val="pt_PT" w:bidi="pt_PT"/>
        </w:rPr>
        <w:t xml:space="preserve">), e os coríntios responderam, pedindo seu conselho sobre vários pontos (veja, por exemplo, </w:t>
      </w:r>
      <w:hyperlink r:id="rId31">
        <w:r>
          <w:rPr>
            <w:lang w:val="pt_PT" w:bidi="pt_PT"/>
          </w:rPr>
          <w:rPr>
            <w:color w:val="0000EE"/>
            <w:u w:val="single"/>
          </w:rPr>
          <w:t>7.1</w:t>
        </w:r>
      </w:hyperlink>
      <w:r>
        <w:rPr>
          <w:lang w:val="pt_PT" w:bidi="pt_PT"/>
        </w:rPr>
        <w:t xml:space="preserve">). Ele também havia recebido relatórios e visitantes de Corinto (veja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16.15–17</w:t>
        </w:r>
      </w:hyperlink>
      <w:r>
        <w:rPr>
          <w:lang w:val="pt_PT" w:bidi="pt_PT"/>
        </w:rPr>
        <w:t xml:space="preserve">), tornando-o ciente de vários problemas enfrentados pela jovem igreja. Esta carta, cheia de conselhos sobre questões específicas, é sua resposta. Pode ter sido entregue por Estéfanas, Fortunato e Acaico (veja </w:t>
      </w:r>
      <w:hyperlink r:id="rId33">
        <w:r>
          <w:rPr>
            <w:lang w:val="pt_PT" w:bidi="pt_PT"/>
          </w:rPr>
          <w:rPr>
            <w:color w:val="0000EE"/>
            <w:u w:val="single"/>
          </w:rPr>
          <w:t>16.15–17</w:t>
        </w:r>
      </w:hyperlink>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4">
        <w:r>
          <w:rPr>
            <w:lang w:val="pt_PT" w:bidi="pt_PT"/>
          </w:rPr>
          <w:rPr>
            <w:color w:val="0000EE"/>
            <w:u w:val="single"/>
          </w:rPr>
          <w:t>2Co 2.1–11</w:t>
        </w:r>
      </w:hyperlink>
      <w:r>
        <w:rPr>
          <w:lang w:val="pt_PT" w:bidi="pt_PT"/>
        </w:rPr>
        <w:t xml:space="preserve">; </w:t>
      </w:r>
      <w:hyperlink r:id="rId35">
        <w:r>
          <w:rPr>
            <w:lang w:val="pt_PT" w:bidi="pt_PT"/>
          </w:rPr>
          <w:rPr>
            <w:color w:val="0000EE"/>
            <w:u w:val="single"/>
          </w:rPr>
          <w:t>7.8–10</w:t>
        </w:r>
      </w:hyperlink>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hyperlink r:id="rId36">
        <w:r>
          <w:rPr>
            <w:lang w:val="pt_PT" w:bidi="pt_PT"/>
          </w:rPr>
          <w:rPr>
            <w:color w:val="0000EE"/>
            <w:u w:val="single"/>
          </w:rPr>
          <w:t>5.1–6.20</w:t>
        </w:r>
      </w:hyperlink>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7">
        <w:r>
          <w:rPr>
            <w:lang w:val="pt_PT" w:bidi="pt_PT"/>
          </w:rPr>
          <w:rPr>
            <w:color w:val="0000EE"/>
            <w:u w:val="single"/>
          </w:rPr>
          <w:t>6.15–20</w:t>
        </w:r>
      </w:hyperlink>
      <w:r>
        <w:rPr>
          <w:lang w:val="pt_PT" w:bidi="pt_PT"/>
        </w:rPr>
        <w:t>).</w:t>
      </w:r>
    </w:p>
    <w:p>
      <w:pPr/>
      <w:r>
        <w:rPr>
          <w:lang w:val="pt_PT" w:bidi="pt_PT"/>
        </w:rPr>
      </w:r>
      <w:r>
        <w:rPr>
          <w:lang w:val="pt_PT" w:bidi="pt_PT"/>
        </w:rPr>
        <w:t>Quando Paulo desencoraja os crentes de levarem uns aos outros aos tribunais pagãos (</w:t>
      </w:r>
      <w:hyperlink r:id="rId38">
        <w:r>
          <w:rPr>
            <w:lang w:val="pt_PT" w:bidi="pt_PT"/>
          </w:rPr>
          <w:rPr>
            <w:color w:val="0000EE"/>
            <w:u w:val="single"/>
          </w:rPr>
          <w:t>6.1–8</w:t>
        </w:r>
      </w:hyperlink>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hyperlink r:id="rId22">
        <w:r>
          <w:rPr>
            <w:lang w:val="pt_PT" w:bidi="pt_PT"/>
          </w:rPr>
          <w:rPr>
            <w:color w:val="0000EE"/>
            <w:u w:val="single"/>
          </w:rPr>
          <w:t>7.1–40</w:t>
        </w:r>
      </w:hyperlink>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hyperlink r:id="rId39">
        <w:r>
          <w:rPr>
            <w:lang w:val="pt_PT" w:bidi="pt_PT"/>
          </w:rPr>
          <w:rPr>
            <w:color w:val="0000EE"/>
            <w:u w:val="single"/>
          </w:rPr>
          <w:t>8.1–13</w:t>
        </w:r>
      </w:hyperlink>
      <w:r>
        <w:rPr>
          <w:lang w:val="pt_PT" w:bidi="pt_PT"/>
        </w:rPr>
        <w:t xml:space="preserve">; </w:t>
      </w:r>
      <w:hyperlink r:id="rId40">
        <w:r>
          <w:rPr>
            <w:lang w:val="pt_PT" w:bidi="pt_PT"/>
          </w:rPr>
          <w:rPr>
            <w:color w:val="0000EE"/>
            <w:u w:val="single"/>
          </w:rPr>
          <w:t>10.1–11.1</w:t>
        </w:r>
      </w:hyperlink>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hyperlink r:id="rId41">
        <w:r>
          <w:rPr>
            <w:lang w:val="pt_PT" w:bidi="pt_PT"/>
          </w:rPr>
          <w:rPr>
            <w:color w:val="0000EE"/>
            <w:u w:val="single"/>
          </w:rPr>
          <w:t>10.31–33</w:t>
        </w:r>
      </w:hyperlink>
      <w:r>
        <w:rPr>
          <w:lang w:val="pt_PT" w:bidi="pt_PT"/>
        </w:rPr>
        <w:t>). Este é o equivalente de Paulo aos dois grandes mandamentos de amor de Jesus (</w:t>
      </w:r>
      <w:hyperlink r:id="rId42">
        <w:r>
          <w:rPr>
            <w:lang w:val="pt_PT" w:bidi="pt_PT"/>
          </w:rPr>
          <w:rPr>
            <w:color w:val="0000EE"/>
            <w:u w:val="single"/>
          </w:rPr>
          <w:t>Mateus 22.36–40</w:t>
        </w:r>
      </w:hyperlink>
      <w:r>
        <w:rPr>
          <w:lang w:val="pt_PT" w:bidi="pt_PT"/>
        </w:rPr>
        <w:t xml:space="preserve">; </w:t>
      </w:r>
      <w:hyperlink r:id="rId43">
        <w:r>
          <w:rPr>
            <w:lang w:val="pt_PT" w:bidi="pt_PT"/>
          </w:rPr>
          <w:rPr>
            <w:color w:val="0000EE"/>
            <w:u w:val="single"/>
          </w:rPr>
          <w:t>Lucas 10.25–37</w:t>
        </w:r>
      </w:hyperlink>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hyperlink r:id="rId20">
        <w:r>
          <w:rPr>
            <w:lang w:val="pt_PT" w:bidi="pt_PT"/>
          </w:rPr>
          <w:rPr>
            <w:color w:val="0000EE"/>
            <w:u w:val="single"/>
          </w:rPr>
          <w:t>1Co 1.1–4.21</w:t>
        </w:r>
      </w:hyperlink>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hyperlink r:id="rId44">
        <w:r>
          <w:rPr>
            <w:lang w:val="pt_PT" w:bidi="pt_PT"/>
          </w:rPr>
          <w:rPr>
            <w:color w:val="0000EE"/>
            <w:u w:val="single"/>
          </w:rPr>
          <w:t>1.10–4.21</w:t>
        </w:r>
      </w:hyperlink>
      <w:r>
        <w:rPr>
          <w:lang w:val="pt_PT" w:bidi="pt_PT"/>
        </w:rPr>
        <w:t xml:space="preserve">, facções na igreja; </w:t>
      </w:r>
      <w:hyperlink r:id="rId45">
        <w:r>
          <w:rPr>
            <w:lang w:val="pt_PT" w:bidi="pt_PT"/>
          </w:rPr>
          <w:rPr>
            <w:color w:val="0000EE"/>
            <w:u w:val="single"/>
          </w:rPr>
          <w:t>6.1–12</w:t>
        </w:r>
      </w:hyperlink>
      <w:r>
        <w:rPr>
          <w:lang w:val="pt_PT" w:bidi="pt_PT"/>
        </w:rPr>
        <w:t xml:space="preserve">, processos judiciais contra outros cristãos; </w:t>
      </w:r>
      <w:hyperlink r:id="rId46">
        <w:r>
          <w:rPr>
            <w:lang w:val="pt_PT" w:bidi="pt_PT"/>
          </w:rPr>
          <w:rPr>
            <w:color w:val="0000EE"/>
            <w:u w:val="single"/>
          </w:rPr>
          <w:t>8.1–11.1</w:t>
        </w:r>
      </w:hyperlink>
      <w:r>
        <w:rPr>
          <w:lang w:val="pt_PT" w:bidi="pt_PT"/>
        </w:rPr>
        <w:t xml:space="preserve">, diferentes opiniões sobre alimentos sacrificados a ídolos; </w:t>
      </w:r>
      <w:hyperlink r:id="rId47">
        <w:r>
          <w:rPr>
            <w:lang w:val="pt_PT" w:bidi="pt_PT"/>
          </w:rPr>
          <w:rPr>
            <w:color w:val="0000EE"/>
            <w:u w:val="single"/>
          </w:rPr>
          <w:t>11.2–16</w:t>
        </w:r>
      </w:hyperlink>
      <w:r>
        <w:rPr>
          <w:lang w:val="pt_PT" w:bidi="pt_PT"/>
        </w:rPr>
        <w:t xml:space="preserve">, diferentes opiniões sobre vestimenta apropriada para mulheres ministrando publicamente; </w:t>
      </w:r>
      <w:hyperlink r:id="rId48">
        <w:r>
          <w:rPr>
            <w:lang w:val="pt_PT" w:bidi="pt_PT"/>
          </w:rPr>
          <w:rPr>
            <w:color w:val="0000EE"/>
            <w:u w:val="single"/>
          </w:rPr>
          <w:t>11.17–34</w:t>
        </w:r>
      </w:hyperlink>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9">
        <w:r>
          <w:rPr>
            <w:lang w:val="pt_PT" w:bidi="pt_PT"/>
          </w:rPr>
          <w:rPr>
            <w:color w:val="0000EE"/>
            <w:u w:val="single"/>
          </w:rPr>
          <w:t>13</w:t>
        </w:r>
      </w:hyperlink>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50">
        <w:r>
          <w:rPr>
            <w:lang w:val="pt_PT" w:bidi="pt_PT"/>
          </w:rPr>
          <w:rPr>
            <w:color w:val="0000EE"/>
            <w:u w:val="single"/>
          </w:rPr>
          <w:t>7.25–31</w:t>
        </w:r>
      </w:hyperlink>
      <w:r>
        <w:rPr>
          <w:lang w:val="pt_PT" w:bidi="pt_PT"/>
        </w:rPr>
        <w:t xml:space="preserve">), Paulo encoraja aqueles que são solteiros a permanecerem assim, vendo a solteirice como uma oportunidade de se dedicar plenamente ao trabalho de Cristo no mundo (veja </w:t>
      </w:r>
      <w:hyperlink r:id="rId51">
        <w:r>
          <w:rPr>
            <w:lang w:val="pt_PT" w:bidi="pt_PT"/>
          </w:rPr>
          <w:rPr>
            <w:color w:val="0000EE"/>
            <w:u w:val="single"/>
          </w:rPr>
          <w:t>7.32–35</w:t>
        </w:r>
      </w:hyperlink>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hyperlink r:id="rId52">
        <w:r>
          <w:rPr>
            <w:lang w:val="pt_PT" w:bidi="pt_PT"/>
          </w:rPr>
          <w:rPr>
            <w:color w:val="0000EE"/>
            <w:u w:val="single"/>
          </w:rPr>
          <w:t>10–11</w:t>
        </w:r>
      </w:hyperlink>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hyperlink r:id="rId53">
        <w:r>
          <w:rPr>
            <w:lang w:val="pt_PT" w:bidi="pt_PT"/>
          </w:rPr>
          <w:rPr>
            <w:color w:val="0000EE"/>
            <w:u w:val="single"/>
          </w:rPr>
          <w:t>12</w:t>
        </w:r>
      </w:hyperlink>
      <w:r>
        <w:rPr>
          <w:lang w:val="pt_PT" w:bidi="pt_PT"/>
        </w:rPr>
        <w:t xml:space="preserve">, </w:t>
      </w:r>
      <w:hyperlink r:id="rId54">
        <w:r>
          <w:rPr>
            <w:lang w:val="pt_PT" w:bidi="pt_PT"/>
          </w:rPr>
          <w:rPr>
            <w:color w:val="0000EE"/>
            <w:u w:val="single"/>
          </w:rPr>
          <w:t>14</w:t>
        </w:r>
      </w:hyperlink>
      <w:r>
        <w:rPr>
          <w:lang w:val="pt_PT" w:bidi="pt_PT"/>
        </w:rPr>
        <w:t>). Nestes primeiros dias do movimento cristão, não há distinção entre clero e leigos, mas os diferentes papéis criam um ministério complementar dos dons do Espírito quando os cristãos se reúnem. Cada pessoa tem um papel a desempenhar na edificação do corpo, e os indivíduos dependem do Espírito para capacitá-los e guiá-los em seus ministérios.</w:t>
      </w:r>
    </w:p>
    <w:p>
      <w:pPr/>
      <w:r>
        <w:rPr>
          <w:lang w:val="pt_PT" w:bidi="pt_PT"/>
        </w:rPr>
      </w:r>
      <w:r>
        <w:rPr>
          <w:lang w:val="pt_PT" w:bidi="pt_PT"/>
        </w:rPr>
        <w:t xml:space="preserve">A ressurreição. Entre os escritos do Novo Testamento, esta carta nos oferece a discussão mais completa sobre a ressurreição (cap. </w:t>
      </w:r>
      <w:hyperlink r:id="rId26">
        <w:r>
          <w:rPr>
            <w:lang w:val="pt_PT" w:bidi="pt_PT"/>
          </w:rPr>
          <w:rPr>
            <w:color w:val="0000EE"/>
            <w:u w:val="single"/>
          </w:rPr>
          <w:t>15</w:t>
        </w:r>
      </w:hyperlink>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