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hyperlink r:id="rId15">
        <w:r>
          <w:rPr>
            <w:lang w:val="es_ES" w:bidi="es_ES"/>
          </w:rPr>
          <w:rPr>
            <w:color w:val="0000EE"/>
            <w:u w:val="single"/>
          </w:rPr>
          <w:t>Hechos 18:1–20</w:t>
        </w:r>
      </w:hyperlink>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6">
        <w:r>
          <w:rPr>
            <w:lang w:val="es_ES" w:bidi="es_ES"/>
          </w:rPr>
          <w:rPr>
            <w:color w:val="0000EE"/>
            <w:u w:val="single"/>
          </w:rPr>
          <w:t>2 Co 4:7</w:t>
        </w:r>
      </w:hyperlink>
      <w:r>
        <w:rPr>
          <w:lang w:val="es_ES" w:bidi="es_ES"/>
        </w:rPr>
        <w:t xml:space="preserve">). La agricultura también fue fundamental para la prosperidad de Corinto (ver </w:t>
      </w:r>
      <w:hyperlink r:id="rId17">
        <w:r>
          <w:rPr>
            <w:lang w:val="es_ES" w:bidi="es_ES"/>
          </w:rPr>
          <w:rPr>
            <w:color w:val="0000EE"/>
            <w:u w:val="single"/>
          </w:rPr>
          <w:t>9:6–10;</w:t>
        </w:r>
      </w:hyperlink>
      <w:r>
        <w:rPr>
          <w:lang w:val="es_ES" w:bidi="es_ES"/>
        </w:rPr>
        <w:t xml:space="preserve"> </w:t>
      </w:r>
      <w:hyperlink r:id="rId18">
        <w:r>
          <w:rPr>
            <w:lang w:val="es_ES" w:bidi="es_ES"/>
          </w:rPr>
          <w:rPr>
            <w:color w:val="0000EE"/>
            <w:u w:val="single"/>
          </w:rPr>
          <w:t>1 Co 3:6–9;</w:t>
        </w:r>
      </w:hyperlink>
      <w:r>
        <w:rPr>
          <w:lang w:val="es_ES" w:bidi="es_ES"/>
        </w:rPr>
        <w:t xml:space="preserve"> </w:t>
      </w:r>
      <w:hyperlink r:id="rId19">
        <w:r>
          <w:rPr>
            <w:lang w:val="es_ES" w:bidi="es_ES"/>
          </w:rPr>
          <w:rPr>
            <w:color w:val="0000EE"/>
            <w:u w:val="single"/>
          </w:rPr>
          <w:t>9:7</w:t>
        </w:r>
      </w:hyperlink>
      <w:r>
        <w:rPr>
          <w:lang w:val="es_ES" w:bidi="es_ES"/>
        </w:rPr>
        <w:t>,</w:t>
      </w:r>
      <w:hyperlink r:id="rId20">
        <w:r>
          <w:rPr>
            <w:lang w:val="es_ES" w:bidi="es_ES"/>
          </w:rPr>
          <w:rPr>
            <w:color w:val="0000EE"/>
            <w:u w:val="single"/>
          </w:rPr>
          <w:t>10</w:t>
        </w:r>
      </w:hyperlink>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21">
        <w:r>
          <w:rPr>
            <w:lang w:val="es_ES" w:bidi="es_ES"/>
          </w:rPr>
          <w:rPr>
            <w:color w:val="0000EE"/>
            <w:u w:val="single"/>
          </w:rPr>
          <w:t>Ro 1:18–32</w:t>
        </w:r>
      </w:hyperlink>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hyperlink r:id="rId22">
        <w:r>
          <w:rPr>
            <w:lang w:val="es_ES" w:bidi="es_ES"/>
          </w:rPr>
          <w:rPr>
            <w:color w:val="0000EE"/>
            <w:u w:val="single"/>
          </w:rPr>
          <w:t>Hechos 20:2–3</w:t>
        </w:r>
      </w:hyperlink>
      <w:r>
        <w:rPr>
          <w:lang w:val="es_ES" w:bidi="es_ES"/>
        </w:rPr>
        <w:t xml:space="preserve">), y 2 Corintios refleja claramente su conciencia de serios problemas morales allí (ver </w:t>
      </w:r>
      <w:hyperlink r:id="rId23">
        <w:r>
          <w:rPr>
            <w:lang w:val="es_ES" w:bidi="es_ES"/>
          </w:rPr>
          <w:rPr>
            <w:color w:val="0000EE"/>
            <w:u w:val="single"/>
          </w:rPr>
          <w:t>2 Co 6:14–17,</w:t>
        </w:r>
      </w:hyperlink>
      <w:r>
        <w:rPr>
          <w:lang w:val="es_ES" w:bidi="es_ES"/>
        </w:rPr>
        <w:t xml:space="preserve"> </w:t>
      </w:r>
      <w:hyperlink r:id="rId24">
        <w:r>
          <w:rPr>
            <w:lang w:val="es_ES" w:bidi="es_ES"/>
          </w:rPr>
          <w:rPr>
            <w:color w:val="0000EE"/>
            <w:u w:val="single"/>
          </w:rPr>
          <w:t>12:19–21</w:t>
        </w:r>
      </w:hyperlink>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hyperlink r:id="rId25">
        <w:r>
          <w:rPr>
            <w:lang w:val="es_ES" w:bidi="es_ES"/>
          </w:rPr>
          <w:rPr>
            <w:color w:val="0000EE"/>
            <w:u w:val="single"/>
          </w:rPr>
          <w:t>6:13,</w:t>
        </w:r>
      </w:hyperlink>
      <w:r>
        <w:rPr>
          <w:lang w:val="es_ES" w:bidi="es_ES"/>
        </w:rPr>
        <w:t xml:space="preserve"> </w:t>
      </w:r>
      <w:hyperlink r:id="rId26">
        <w:r>
          <w:rPr>
            <w:lang w:val="es_ES" w:bidi="es_ES"/>
          </w:rPr>
          <w:rPr>
            <w:color w:val="0000EE"/>
            <w:u w:val="single"/>
          </w:rPr>
          <w:t>12:14,</w:t>
        </w:r>
      </w:hyperlink>
      <w:r>
        <w:rPr>
          <w:lang w:val="es_ES" w:bidi="es_ES"/>
        </w:rPr>
        <w:t xml:space="preserve"> </w:t>
      </w:r>
      <w:hyperlink r:id="rId27">
        <w:r>
          <w:rPr>
            <w:lang w:val="es_ES" w:bidi="es_ES"/>
          </w:rPr>
          <w:rPr>
            <w:color w:val="0000EE"/>
            <w:u w:val="single"/>
          </w:rPr>
          <w:t>1 Co 4:15</w:t>
        </w:r>
      </w:hyperlink>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8">
        <w:r>
          <w:rPr>
            <w:lang w:val="es_ES" w:bidi="es_ES"/>
          </w:rPr>
          <w:rPr>
            <w:color w:val="0000EE"/>
            <w:u w:val="single"/>
          </w:rPr>
          <w:t>2 Corintios 11:23–28</w:t>
        </w:r>
      </w:hyperlink>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hyperlink r:id="rId29">
        <w:r>
          <w:rPr>
            <w:lang w:val="es_ES" w:bidi="es_ES"/>
          </w:rPr>
          <w:rPr>
            <w:color w:val="0000EE"/>
            <w:u w:val="single"/>
          </w:rPr>
          <w:t>caps. 1–6</w:t>
        </w:r>
      </w:hyperlink>
      <w:r>
        <w:rPr>
          <w:lang w:val="es_ES" w:bidi="es_ES"/>
        </w:rPr>
        <w:t>), Pablo explica su comprensión del servicio cristiano. Sufrir por el bien de Cristo es una parte necesaria del servicio (</w:t>
      </w:r>
      <w:hyperlink r:id="rId30">
        <w:r>
          <w:rPr>
            <w:lang w:val="es_ES" w:bidi="es_ES"/>
          </w:rPr>
          <w:rPr>
            <w:color w:val="0000EE"/>
            <w:u w:val="single"/>
          </w:rPr>
          <w:t>1:1–24</w:t>
        </w:r>
      </w:hyperlink>
      <w:r>
        <w:rPr>
          <w:lang w:val="es_ES" w:bidi="es_ES"/>
        </w:rPr>
        <w:t>), aunque es difícil de soportar cuando somos ofendidos por otros cristianos (</w:t>
      </w:r>
      <w:hyperlink r:id="rId31">
        <w:r>
          <w:rPr>
            <w:lang w:val="es_ES" w:bidi="es_ES"/>
          </w:rPr>
          <w:rPr>
            <w:color w:val="0000EE"/>
            <w:u w:val="single"/>
          </w:rPr>
          <w:t>2:1–17</w:t>
        </w:r>
      </w:hyperlink>
      <w:r>
        <w:rPr>
          <w:lang w:val="es_ES" w:bidi="es_ES"/>
        </w:rPr>
        <w:t>). El mensaje de las Buenas Nuevas da vida en el Espíritu y ofrece la salvación de Dios, reemplazando la religión del antiguo pacto, aunque mantiene continuidad con él (</w:t>
      </w:r>
      <w:hyperlink r:id="rId32">
        <w:r>
          <w:rPr>
            <w:lang w:val="es_ES" w:bidi="es_ES"/>
          </w:rPr>
          <w:rPr>
            <w:color w:val="0000EE"/>
            <w:u w:val="single"/>
          </w:rPr>
          <w:t>3:1–18</w:t>
        </w:r>
      </w:hyperlink>
      <w:r>
        <w:rPr>
          <w:lang w:val="es_ES" w:bidi="es_ES"/>
        </w:rPr>
        <w:t>). El poder del mensaje se manifiesta a través de la debilidad de los siervos de Dios (</w:t>
      </w:r>
      <w:hyperlink r:id="rId33">
        <w:r>
          <w:rPr>
            <w:lang w:val="es_ES" w:bidi="es_ES"/>
          </w:rPr>
          <w:rPr>
            <w:color w:val="0000EE"/>
            <w:u w:val="single"/>
          </w:rPr>
          <w:t>4:1–18</w:t>
        </w:r>
      </w:hyperlink>
      <w:r>
        <w:rPr>
          <w:lang w:val="es_ES" w:bidi="es_ES"/>
        </w:rPr>
        <w:t>) y se centra en la muerte del Hijo de Dios, por la cual somos restaurados al favor de Dios (</w:t>
      </w:r>
      <w:hyperlink r:id="rId34">
        <w:r>
          <w:rPr>
            <w:lang w:val="es_ES" w:bidi="es_ES"/>
          </w:rPr>
          <w:rPr>
            <w:color w:val="0000EE"/>
            <w:u w:val="single"/>
          </w:rPr>
          <w:t>5:1–21</w:t>
        </w:r>
      </w:hyperlink>
      <w:r>
        <w:rPr>
          <w:lang w:val="es_ES" w:bidi="es_ES"/>
        </w:rPr>
        <w:t>). La vida cristiana se caracteriza por la devoción y dedicación que distinguen a los creyentes de los males del mundo (</w:t>
      </w:r>
      <w:hyperlink r:id="rId35">
        <w:r>
          <w:rPr>
            <w:lang w:val="es_ES" w:bidi="es_ES"/>
          </w:rPr>
          <w:rPr>
            <w:color w:val="0000EE"/>
            <w:u w:val="single"/>
          </w:rPr>
          <w:t>6:1–18</w:t>
        </w:r>
      </w:hyperlink>
      <w:r>
        <w:rPr>
          <w:lang w:val="es_ES" w:bidi="es_ES"/>
        </w:rPr>
        <w:t>).</w:t>
      </w:r>
    </w:p>
    <w:p>
      <w:pPr/>
      <w:r>
        <w:rPr>
          <w:lang w:val="es_ES" w:bidi="es_ES"/>
        </w:rPr>
      </w:r>
      <w:r>
        <w:rPr>
          <w:lang w:val="es_ES" w:bidi="es_ES"/>
        </w:rPr>
        <w:t>En la segunda mitad de la carta (</w:t>
      </w:r>
      <w:hyperlink r:id="rId36">
        <w:r>
          <w:rPr>
            <w:lang w:val="es_ES" w:bidi="es_ES"/>
          </w:rPr>
          <w:rPr>
            <w:color w:val="0000EE"/>
            <w:u w:val="single"/>
          </w:rPr>
          <w:t>caps. 7–13</w:t>
        </w:r>
      </w:hyperlink>
      <w:r>
        <w:rPr>
          <w:lang w:val="es_ES" w:bidi="es_ES"/>
        </w:rPr>
        <w:t>), Pablo explica cómo llegó a escribir sus cartas a Corinto (</w:t>
      </w:r>
      <w:hyperlink r:id="rId37">
        <w:r>
          <w:rPr>
            <w:lang w:val="es_ES" w:bidi="es_ES"/>
          </w:rPr>
          <w:rPr>
            <w:color w:val="0000EE"/>
            <w:u w:val="single"/>
          </w:rPr>
          <w:t>7:1–16</w:t>
        </w:r>
      </w:hyperlink>
      <w:r>
        <w:rPr>
          <w:lang w:val="es_ES" w:bidi="es_ES"/>
        </w:rPr>
        <w:t>), revela principios sobre el dar y la administración al discutir la colecta para la iglesia de Jerusalén (</w:t>
      </w:r>
      <w:hyperlink r:id="rId38">
        <w:r>
          <w:rPr>
            <w:lang w:val="es_ES" w:bidi="es_ES"/>
          </w:rPr>
          <w:rPr>
            <w:color w:val="0000EE"/>
            <w:u w:val="single"/>
          </w:rPr>
          <w:t>8:1–9:15</w:t>
        </w:r>
      </w:hyperlink>
      <w:r>
        <w:rPr>
          <w:lang w:val="es_ES" w:bidi="es_ES"/>
        </w:rPr>
        <w:t>), y realiza una defensa enérgica de su labor apostólica contra aquellos que menospreciaron su estatus debido a sus debilidades (</w:t>
      </w:r>
      <w:hyperlink r:id="rId39">
        <w:r>
          <w:rPr>
            <w:lang w:val="es_ES" w:bidi="es_ES"/>
          </w:rPr>
          <w:rPr>
            <w:color w:val="0000EE"/>
            <w:u w:val="single"/>
          </w:rPr>
          <w:t>caps. 10–13</w:t>
        </w:r>
      </w:hyperlink>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hyperlink r:id="rId40">
        <w:r>
          <w:rPr>
            <w:lang w:val="es_ES" w:bidi="es_ES"/>
          </w:rPr>
          <w:rPr>
            <w:color w:val="0000EE"/>
            <w:u w:val="single"/>
          </w:rPr>
          <w:t>6:14–7:1</w:t>
        </w:r>
      </w:hyperlink>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hyperlink r:id="rId41">
        <w:r>
          <w:rPr>
            <w:lang w:val="es_ES" w:bidi="es_ES"/>
          </w:rPr>
          <w:rPr>
            <w:color w:val="0000EE"/>
            <w:u w:val="single"/>
          </w:rPr>
          <w:t>1 Co 16:10–11</w:t>
        </w:r>
      </w:hyperlink>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hyperlink r:id="rId42">
        <w:r>
          <w:rPr>
            <w:lang w:val="es_ES" w:bidi="es_ES"/>
          </w:rPr>
          <w:rPr>
            <w:color w:val="0000EE"/>
            <w:u w:val="single"/>
          </w:rPr>
          <w:t>1 Co 4:18–21</w:t>
        </w:r>
      </w:hyperlink>
      <w:r>
        <w:rPr>
          <w:lang w:val="es_ES" w:bidi="es_ES"/>
        </w:rPr>
        <w:t>, pero el desafío se volvió más evidente y agresivo. Por lo tanto, Pablo realizó una visita personal desde Éfeso (</w:t>
      </w:r>
      <w:hyperlink r:id="rId43">
        <w:r>
          <w:rPr>
            <w:lang w:val="es_ES" w:bidi="es_ES"/>
          </w:rPr>
          <w:rPr>
            <w:color w:val="0000EE"/>
            <w:u w:val="single"/>
          </w:rPr>
          <w:t>2 Co 2:1</w:t>
        </w:r>
      </w:hyperlink>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4">
        <w:r>
          <w:rPr>
            <w:lang w:val="es_ES" w:bidi="es_ES"/>
          </w:rPr>
          <w:rPr>
            <w:color w:val="0000EE"/>
            <w:u w:val="single"/>
          </w:rPr>
          <w:t>2:3–13</w:t>
        </w:r>
      </w:hyperlink>
      <w:r>
        <w:rPr>
          <w:lang w:val="es_ES" w:bidi="es_ES"/>
        </w:rPr>
        <w:t>). Esta carta severa, que se ha perdido, logró finalmente llevar a los corintios al arrepentimiento (</w:t>
      </w:r>
      <w:hyperlink r:id="rId45">
        <w:r>
          <w:rPr>
            <w:lang w:val="es_ES" w:bidi="es_ES"/>
          </w:rPr>
          <w:rPr>
            <w:color w:val="0000EE"/>
            <w:u w:val="single"/>
          </w:rPr>
          <w:t>7:8–10</w:t>
        </w:r>
      </w:hyperlink>
      <w:r>
        <w:rPr>
          <w:lang w:val="es_ES" w:bidi="es_ES"/>
        </w:rPr>
        <w:t>).</w:t>
      </w:r>
    </w:p>
    <w:p>
      <w:pPr/>
      <w:r>
        <w:rPr>
          <w:lang w:val="es_ES" w:bidi="es_ES"/>
        </w:rPr>
      </w:r>
      <w:r>
        <w:rPr>
          <w:lang w:val="es_ES" w:bidi="es_ES"/>
        </w:rPr>
        <w:t>Mientras tanto, Pablo dejó Éfeso después de enfrentar severas pruebas (</w:t>
      </w:r>
      <w:hyperlink r:id="rId46">
        <w:r>
          <w:rPr>
            <w:lang w:val="es_ES" w:bidi="es_ES"/>
          </w:rPr>
          <w:rPr>
            <w:color w:val="0000EE"/>
            <w:u w:val="single"/>
          </w:rPr>
          <w:t>Hechos 19:23–41,</w:t>
        </w:r>
      </w:hyperlink>
      <w:r>
        <w:rPr>
          <w:lang w:val="es_ES" w:bidi="es_ES"/>
        </w:rPr>
        <w:t xml:space="preserve"> cp. </w:t>
      </w:r>
      <w:hyperlink r:id="rId47">
        <w:r>
          <w:rPr>
            <w:lang w:val="es_ES" w:bidi="es_ES"/>
          </w:rPr>
          <w:rPr>
            <w:color w:val="0000EE"/>
            <w:u w:val="single"/>
          </w:rPr>
          <w:t>1:8–11,</w:t>
        </w:r>
      </w:hyperlink>
      <w:r>
        <w:rPr>
          <w:lang w:val="es_ES" w:bidi="es_ES"/>
        </w:rPr>
        <w:t xml:space="preserve"> </w:t>
      </w:r>
      <w:hyperlink r:id="rId48">
        <w:r>
          <w:rPr>
            <w:lang w:val="es_ES" w:bidi="es_ES"/>
          </w:rPr>
          <w:rPr>
            <w:color w:val="0000EE"/>
            <w:u w:val="single"/>
          </w:rPr>
          <w:t>4:8–15,</w:t>
        </w:r>
      </w:hyperlink>
      <w:r>
        <w:rPr>
          <w:lang w:val="es_ES" w:bidi="es_ES"/>
        </w:rPr>
        <w:t xml:space="preserve"> </w:t>
      </w:r>
      <w:hyperlink r:id="rId49">
        <w:r>
          <w:rPr>
            <w:lang w:val="es_ES" w:bidi="es_ES"/>
          </w:rPr>
          <w:rPr>
            <w:color w:val="0000EE"/>
            <w:u w:val="single"/>
          </w:rPr>
          <w:t>6:4–10</w:t>
        </w:r>
      </w:hyperlink>
      <w:r>
        <w:rPr>
          <w:lang w:val="es_ES" w:bidi="es_ES"/>
        </w:rPr>
        <w:t>) y viajó a Macedonia (</w:t>
      </w:r>
      <w:hyperlink r:id="rId50">
        <w:r>
          <w:rPr>
            <w:lang w:val="es_ES" w:bidi="es_ES"/>
          </w:rPr>
          <w:rPr>
            <w:color w:val="0000EE"/>
            <w:u w:val="single"/>
          </w:rPr>
          <w:t>Hechos 20:1</w:t>
        </w:r>
      </w:hyperlink>
      <w:r>
        <w:rPr>
          <w:lang w:val="es_ES" w:bidi="es_ES"/>
        </w:rPr>
        <w:t>). En Macedonia, Pablo se encontró con Tito, quien había llegado de Corinto, y Tito le dio un informe muy alentador sobre la situación allí (</w:t>
      </w:r>
      <w:hyperlink r:id="rId51">
        <w:r>
          <w:rPr>
            <w:lang w:val="es_ES" w:bidi="es_ES"/>
          </w:rPr>
          <w:rPr>
            <w:color w:val="0000EE"/>
            <w:u w:val="single"/>
          </w:rPr>
          <w:t>2 Co 7:5–7</w:t>
        </w:r>
      </w:hyperlink>
      <w:r>
        <w:rPr>
          <w:lang w:val="es_ES" w:bidi="es_ES"/>
        </w:rPr>
        <w:t>). En respuesta a ese informe, Pablo escribió 2 Corintios (alrededor del año 56 d. C.) y lo envió de regreso a Corinto con Tito (</w:t>
      </w:r>
      <w:hyperlink r:id="rId52">
        <w:r>
          <w:rPr>
            <w:lang w:val="es_ES" w:bidi="es_ES"/>
          </w:rPr>
          <w:rPr>
            <w:color w:val="0000EE"/>
            <w:u w:val="single"/>
          </w:rPr>
          <w:t>8:6</w:t>
        </w:r>
      </w:hyperlink>
      <w:r>
        <w:rPr>
          <w:lang w:val="es_ES" w:bidi="es_ES"/>
        </w:rPr>
        <w:t xml:space="preserve">, </w:t>
      </w:r>
      <w:hyperlink r:id="rId53">
        <w:r>
          <w:rPr>
            <w:lang w:val="es_ES" w:bidi="es_ES"/>
          </w:rPr>
          <w:rPr>
            <w:color w:val="0000EE"/>
            <w:u w:val="single"/>
          </w:rPr>
          <w:t>16–19</w:t>
        </w:r>
      </w:hyperlink>
      <w:r>
        <w:rPr>
          <w:lang w:val="es_ES" w:bidi="es_ES"/>
        </w:rPr>
        <w:t xml:space="preserve">). Después, Pablo viajó a Corinto él mismo, donde pasó tres meses (ver </w:t>
      </w:r>
      <w:hyperlink r:id="rId54">
        <w:r>
          <w:rPr>
            <w:lang w:val="es_ES" w:bidi="es_ES"/>
          </w:rPr>
          <w:rPr>
            <w:color w:val="0000EE"/>
            <w:u w:val="single"/>
          </w:rPr>
          <w:t>Hechos 20:1–3</w:t>
        </w:r>
      </w:hyperlink>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hyperlink r:id="rId40">
        <w:r>
          <w:rPr>
            <w:lang w:val="es_ES" w:bidi="es_ES"/>
          </w:rPr>
          <w:rPr>
            <w:color w:val="0000EE"/>
            <w:u w:val="single"/>
          </w:rPr>
          <w:t>2 Co 6:14–7:1</w:t>
        </w:r>
      </w:hyperlink>
      <w:r>
        <w:rPr>
          <w:lang w:val="es_ES" w:bidi="es_ES"/>
        </w:rPr>
        <w:t xml:space="preserve">. En </w:t>
      </w:r>
      <w:hyperlink r:id="rId55">
        <w:r>
          <w:rPr>
            <w:lang w:val="es_ES" w:bidi="es_ES"/>
          </w:rPr>
          <w:rPr>
            <w:color w:val="0000EE"/>
            <w:u w:val="single"/>
          </w:rPr>
          <w:t>1 Corintios 5:9</w:t>
        </w:r>
      </w:hyperlink>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hyperlink r:id="rId40">
        <w:r>
          <w:rPr>
            <w:lang w:val="es_ES" w:bidi="es_ES"/>
          </w:rPr>
          <w:rPr>
            <w:color w:val="0000EE"/>
            <w:u w:val="single"/>
          </w:rPr>
          <w:t>2 Corintios 6:14–7:1</w:t>
        </w:r>
      </w:hyperlink>
      <w:r>
        <w:rPr>
          <w:lang w:val="es_ES" w:bidi="es_ES"/>
        </w:rPr>
        <w:t xml:space="preserve">, que aborda el mismo tema. Si </w:t>
      </w:r>
      <w:hyperlink r:id="rId40">
        <w:r>
          <w:rPr>
            <w:lang w:val="es_ES" w:bidi="es_ES"/>
          </w:rPr>
          <w:rPr>
            <w:color w:val="0000EE"/>
            <w:u w:val="single"/>
          </w:rPr>
          <w:t>6:14–7:1</w:t>
        </w:r>
      </w:hyperlink>
      <w:r>
        <w:rPr>
          <w:lang w:val="es_ES" w:bidi="es_ES"/>
        </w:rPr>
        <w:t xml:space="preserve"> es un fragmento de esa carta anterior, podría explicar por qué esta sección parece estar insertada en la discusión, que de otro modo fluiría naturalmente de </w:t>
      </w:r>
      <w:hyperlink r:id="rId25">
        <w:r>
          <w:rPr>
            <w:lang w:val="es_ES" w:bidi="es_ES"/>
          </w:rPr>
          <w:rPr>
            <w:color w:val="0000EE"/>
            <w:u w:val="single"/>
          </w:rPr>
          <w:t>6:13</w:t>
        </w:r>
      </w:hyperlink>
      <w:r>
        <w:rPr>
          <w:lang w:val="es_ES" w:bidi="es_ES"/>
        </w:rPr>
        <w:t xml:space="preserve"> directamente a </w:t>
      </w:r>
      <w:hyperlink r:id="rId56">
        <w:r>
          <w:rPr>
            <w:lang w:val="es_ES" w:bidi="es_ES"/>
          </w:rPr>
          <w:rPr>
            <w:color w:val="0000EE"/>
            <w:u w:val="single"/>
          </w:rPr>
          <w:t>7:2</w:t>
        </w:r>
      </w:hyperlink>
      <w:r>
        <w:rPr>
          <w:lang w:val="es_ES" w:bidi="es_ES"/>
        </w:rPr>
        <w:t xml:space="preserve">. Por otro lado, Pablo a menudo divagaba al escribir sus cartas, por lo que también es posible que </w:t>
      </w:r>
      <w:hyperlink r:id="rId40">
        <w:r>
          <w:rPr>
            <w:lang w:val="es_ES" w:bidi="es_ES"/>
          </w:rPr>
          <w:rPr>
            <w:color w:val="0000EE"/>
            <w:u w:val="single"/>
          </w:rPr>
          <w:t>6:14–7:1</w:t>
        </w:r>
      </w:hyperlink>
      <w:r>
        <w:rPr>
          <w:lang w:val="es_ES" w:bidi="es_ES"/>
        </w:rPr>
        <w:t xml:space="preserve"> sea simplemente una digresión.</w:t>
      </w:r>
    </w:p>
    <w:p>
      <w:pPr/>
      <w:r>
        <w:rPr>
          <w:lang w:val="es_ES" w:bidi="es_ES"/>
        </w:rPr>
      </w:r>
      <w:hyperlink r:id="rId39">
        <w:r>
          <w:rPr>
            <w:lang w:val="es_ES" w:bidi="es_ES"/>
          </w:rPr>
          <w:rPr>
            <w:color w:val="0000EE"/>
            <w:u w:val="single"/>
          </w:rPr>
          <w:t>2 Co 10:1–13:14</w:t>
        </w:r>
      </w:hyperlink>
      <w:r>
        <w:rPr>
          <w:lang w:val="es_ES" w:bidi="es_ES"/>
        </w:rPr>
        <w:t xml:space="preserve">. Los últimos cuatro capítulos de 2 Corintios son un enigma. El tono de estos capítulos es indignado e irónico. Algunos los consideran parte de la "carta severa" de Pablo (ver </w:t>
      </w:r>
      <w:hyperlink r:id="rId57">
        <w:r>
          <w:rPr>
            <w:lang w:val="es_ES" w:bidi="es_ES"/>
          </w:rPr>
          <w:rPr>
            <w:color w:val="0000EE"/>
            <w:u w:val="single"/>
          </w:rPr>
          <w:t>7:8</w:t>
        </w:r>
      </w:hyperlink>
      <w:r>
        <w:rPr>
          <w:lang w:val="es_ES" w:bidi="es_ES"/>
        </w:rPr>
        <w:t>); sin embargo, eso no es probable, ya que los corintios respondieron a su carta severa con arrepentimiento (</w:t>
      </w:r>
      <w:hyperlink r:id="rId58">
        <w:r>
          <w:rPr>
            <w:lang w:val="es_ES" w:bidi="es_ES"/>
          </w:rPr>
          <w:rPr>
            <w:color w:val="0000EE"/>
            <w:u w:val="single"/>
          </w:rPr>
          <w:t>7:9</w:t>
        </w:r>
      </w:hyperlink>
      <w:r>
        <w:rPr>
          <w:lang w:val="es_ES" w:bidi="es_ES"/>
        </w:rPr>
        <w:t>). Es más lógico pensar que los</w:t>
      </w:r>
      <w:hyperlink r:id="rId39">
        <w:r>
          <w:rPr>
            <w:lang w:val="es_ES" w:bidi="es_ES"/>
          </w:rPr>
          <w:rPr>
            <w:color w:val="0000EE"/>
            <w:u w:val="single"/>
          </w:rPr>
          <w:t xml:space="preserve"> caps. 10–13</w:t>
        </w:r>
      </w:hyperlink>
      <w:r>
        <w:rPr>
          <w:lang w:val="es_ES" w:bidi="es_ES"/>
        </w:rPr>
        <w:t xml:space="preserve"> fueron escritos después de </w:t>
      </w:r>
      <w:hyperlink r:id="rId59">
        <w:r>
          <w:rPr>
            <w:lang w:val="es_ES" w:bidi="es_ES"/>
          </w:rPr>
          <w:rPr>
            <w:color w:val="0000EE"/>
            <w:u w:val="single"/>
          </w:rPr>
          <w:t>los caps. 1–9</w:t>
        </w:r>
      </w:hyperlink>
      <w:r>
        <w:rPr>
          <w:lang w:val="es_ES" w:bidi="es_ES"/>
        </w:rPr>
        <w:t xml:space="preserve"> en respuesta a una nueva situación que surgió tras la llegada de falsos maestros a Corinto (cp. </w:t>
      </w:r>
      <w:hyperlink r:id="rId60">
        <w:r>
          <w:rPr>
            <w:lang w:val="es_ES" w:bidi="es_ES"/>
          </w:rPr>
          <w:rPr>
            <w:color w:val="0000EE"/>
            <w:u w:val="single"/>
          </w:rPr>
          <w:t>11:4</w:t>
        </w:r>
      </w:hyperlink>
      <w:r>
        <w:rPr>
          <w:lang w:val="es_ES" w:bidi="es_ES"/>
        </w:rPr>
        <w:t xml:space="preserve">, </w:t>
      </w:r>
      <w:hyperlink r:id="rId61">
        <w:r>
          <w:rPr>
            <w:lang w:val="es_ES" w:bidi="es_ES"/>
          </w:rPr>
          <w:rPr>
            <w:color w:val="0000EE"/>
            <w:u w:val="single"/>
          </w:rPr>
          <w:t>12–15</w:t>
        </w:r>
      </w:hyperlink>
      <w:r>
        <w:rPr>
          <w:lang w:val="es_ES" w:bidi="es_ES"/>
        </w:rPr>
        <w:t xml:space="preserve">). Los corintios habían recibido calurosamente a estos maestros, quienes rápidamente reabrieron viejas heridas e insinuaron que Pablo no era un verdadero apóstol ni siquiera un cristiano (ver </w:t>
      </w:r>
      <w:hyperlink r:id="rId62">
        <w:r>
          <w:rPr>
            <w:lang w:val="es_ES" w:bidi="es_ES"/>
          </w:rPr>
          <w:rPr>
            <w:color w:val="0000EE"/>
            <w:u w:val="single"/>
          </w:rPr>
          <w:t>10:7</w:t>
        </w:r>
      </w:hyperlink>
      <w:r>
        <w:rPr>
          <w:lang w:val="es_ES" w:bidi="es_ES"/>
        </w:rPr>
        <w:t>,</w:t>
      </w:r>
      <w:hyperlink r:id="rId63">
        <w:r>
          <w:rPr>
            <w:lang w:val="es_ES" w:bidi="es_ES"/>
          </w:rPr>
          <w:rPr>
            <w:color w:val="0000EE"/>
            <w:u w:val="single"/>
          </w:rPr>
          <w:t>10</w:t>
        </w:r>
      </w:hyperlink>
      <w:r>
        <w:rPr>
          <w:lang w:val="es_ES" w:bidi="es_ES"/>
        </w:rPr>
        <w:t xml:space="preserve">; </w:t>
      </w:r>
      <w:hyperlink r:id="rId64">
        <w:r>
          <w:rPr>
            <w:lang w:val="es_ES" w:bidi="es_ES"/>
          </w:rPr>
          <w:rPr>
            <w:color w:val="0000EE"/>
            <w:u w:val="single"/>
          </w:rPr>
          <w:t>11:5;</w:t>
        </w:r>
      </w:hyperlink>
      <w:r>
        <w:rPr>
          <w:lang w:val="es_ES" w:bidi="es_ES"/>
        </w:rPr>
        <w:t xml:space="preserve"> </w:t>
      </w:r>
      <w:hyperlink r:id="rId65">
        <w:r>
          <w:rPr>
            <w:lang w:val="es_ES" w:bidi="es_ES"/>
          </w:rPr>
          <w:rPr>
            <w:color w:val="0000EE"/>
            <w:u w:val="single"/>
          </w:rPr>
          <w:t>12:11</w:t>
        </w:r>
      </w:hyperlink>
      <w:r>
        <w:rPr>
          <w:lang w:val="es_ES" w:bidi="es_ES"/>
        </w:rPr>
        <w:t>). Cuando Pablo percibió el peligro, escribió una nota mordaz llena de ironía, invectiva, escarnio y autodefensa. En el corazón de los</w:t>
      </w:r>
      <w:hyperlink r:id="rId39">
        <w:r>
          <w:rPr>
            <w:lang w:val="es_ES" w:bidi="es_ES"/>
          </w:rPr>
          <w:rPr>
            <w:color w:val="0000EE"/>
            <w:u w:val="single"/>
          </w:rPr>
          <w:t xml:space="preserve"> caps. 10–13</w:t>
        </w:r>
      </w:hyperlink>
      <w:r>
        <w:rPr>
          <w:lang w:val="es_ES" w:bidi="es_ES"/>
        </w:rPr>
        <w:t xml:space="preserve"> está el "Discurso del loco" de Pablo (</w:t>
      </w:r>
      <w:hyperlink r:id="rId66">
        <w:r>
          <w:rPr>
            <w:lang w:val="es_ES" w:bidi="es_ES"/>
          </w:rPr>
          <w:rPr>
            <w:color w:val="0000EE"/>
            <w:u w:val="single"/>
          </w:rPr>
          <w:t>11:16–12:10</w:t>
        </w:r>
      </w:hyperlink>
      <w:r>
        <w:rPr>
          <w:lang w:val="es_ES" w:bidi="es_ES"/>
        </w:rPr>
        <w:t>), en el cual recurre a la jactancia porque la necesidad lo obliga (</w:t>
      </w:r>
      <w:hyperlink r:id="rId67">
        <w:r>
          <w:rPr>
            <w:lang w:val="es_ES" w:bidi="es_ES"/>
          </w:rPr>
          <w:rPr>
            <w:color w:val="0000EE"/>
            <w:u w:val="single"/>
          </w:rPr>
          <w:t>11:1</w:t>
        </w:r>
      </w:hyperlink>
      <w:r>
        <w:rPr>
          <w:lang w:val="es_ES" w:bidi="es_ES"/>
        </w:rPr>
        <w:t xml:space="preserve">, </w:t>
      </w:r>
      <w:hyperlink r:id="rId68">
        <w:r>
          <w:rPr>
            <w:lang w:val="es_ES" w:bidi="es_ES"/>
          </w:rPr>
          <w:rPr>
            <w:color w:val="0000EE"/>
            <w:u w:val="single"/>
          </w:rPr>
          <w:t>16–17</w:t>
        </w:r>
      </w:hyperlink>
      <w:r>
        <w:rPr>
          <w:lang w:val="es_ES" w:bidi="es_ES"/>
        </w:rPr>
        <w:t>).</w:t>
      </w:r>
    </w:p>
    <w:p>
      <w:pPr/>
      <w:r>
        <w:rPr>
          <w:lang w:val="es_ES" w:bidi="es_ES"/>
        </w:rPr>
      </w:r>
      <w:r>
        <w:rPr>
          <w:lang w:val="es_ES" w:bidi="es_ES"/>
        </w:rPr>
        <w:t>No podemos saber si las palabras preservadas en los</w:t>
      </w:r>
      <w:hyperlink r:id="rId39">
        <w:r>
          <w:rPr>
            <w:lang w:val="es_ES" w:bidi="es_ES"/>
          </w:rPr>
          <w:rPr>
            <w:color w:val="0000EE"/>
            <w:u w:val="single"/>
          </w:rPr>
          <w:t xml:space="preserve"> caps. 10–13</w:t>
        </w:r>
      </w:hyperlink>
      <w:r>
        <w:rPr>
          <w:lang w:val="es_ES" w:bidi="es_ES"/>
        </w:rPr>
        <w:t xml:space="preserve"> lograron alejar estas amenazas y defender nuevamente la posición apostólica de Pablo en Corinto. Pablo siguió esta carta con una visita (</w:t>
      </w:r>
      <w:hyperlink r:id="rId69">
        <w:r>
          <w:rPr>
            <w:lang w:val="es_ES" w:bidi="es_ES"/>
          </w:rPr>
          <w:rPr>
            <w:color w:val="0000EE"/>
            <w:u w:val="single"/>
          </w:rPr>
          <w:t>Hechos 20:2</w:t>
        </w:r>
      </w:hyperlink>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hyperlink r:id="rId70">
        <w:r>
          <w:rPr>
            <w:lang w:val="es_ES" w:bidi="es_ES"/>
          </w:rPr>
          <w:rPr>
            <w:color w:val="0000EE"/>
            <w:u w:val="single"/>
          </w:rPr>
          <w:t>1:1–7:16</w:t>
        </w:r>
      </w:hyperlink>
      <w:r>
        <w:rPr>
          <w:lang w:val="es_ES" w:bidi="es_ES"/>
        </w:rPr>
        <w:t>) explica y describe las responsabilidades y privilegios de un líder. El mensaje de las Buenas Nuevas es novedoso (</w:t>
      </w:r>
      <w:hyperlink r:id="rId32">
        <w:r>
          <w:rPr>
            <w:lang w:val="es_ES" w:bidi="es_ES"/>
          </w:rPr>
          <w:rPr>
            <w:color w:val="0000EE"/>
            <w:u w:val="single"/>
          </w:rPr>
          <w:t>3:1–18</w:t>
        </w:r>
      </w:hyperlink>
      <w:r>
        <w:rPr>
          <w:lang w:val="es_ES" w:bidi="es_ES"/>
        </w:rPr>
        <w:t>) y debe ser respaldado por el estilo de vida de quienes lo proclaman. Además, las Buenas Nuevas promueven la reconciliación (</w:t>
      </w:r>
      <w:hyperlink r:id="rId34">
        <w:r>
          <w:rPr>
            <w:lang w:val="es_ES" w:bidi="es_ES"/>
          </w:rPr>
          <w:rPr>
            <w:color w:val="0000EE"/>
            <w:u w:val="single"/>
          </w:rPr>
          <w:t>5:1–21</w:t>
        </w:r>
      </w:hyperlink>
      <w:r>
        <w:rPr>
          <w:lang w:val="es_ES" w:bidi="es_ES"/>
        </w:rPr>
        <w:t>).</w:t>
      </w:r>
    </w:p>
    <w:p>
      <w:pPr/>
      <w:r>
        <w:rPr>
          <w:lang w:val="es_ES" w:bidi="es_ES"/>
        </w:rPr>
      </w:r>
      <w:r>
        <w:rPr>
          <w:lang w:val="es_ES" w:bidi="es_ES"/>
        </w:rPr>
        <w:t xml:space="preserve">El Corazón de las Buenas Nuevas. </w:t>
      </w:r>
      <w:hyperlink r:id="rId34">
        <w:r>
          <w:rPr>
            <w:lang w:val="es_ES" w:bidi="es_ES"/>
          </w:rPr>
          <w:rPr>
            <w:color w:val="0000EE"/>
            <w:u w:val="single"/>
          </w:rPr>
          <w:t>Capítulo 5</w:t>
        </w:r>
      </w:hyperlink>
      <w:r>
        <w:rPr>
          <w:lang w:val="es_ES" w:bidi="es_ES"/>
        </w:rPr>
        <w:t xml:space="preserve"> contiene uno de los relatos más completos del mensaje central de Pablo (</w:t>
      </w:r>
      <w:hyperlink r:id="rId71">
        <w:r>
          <w:rPr>
            <w:lang w:val="es_ES" w:bidi="es_ES"/>
          </w:rPr>
          <w:rPr>
            <w:color w:val="0000EE"/>
            <w:u w:val="single"/>
          </w:rPr>
          <w:t>5:18–21</w:t>
        </w:r>
      </w:hyperlink>
      <w:r>
        <w:rPr>
          <w:lang w:val="es_ES" w:bidi="es_ES"/>
        </w:rPr>
        <w:t>). Pablo ya había dicho a los Corintios que vino predicando a Cristo crucificado (</w:t>
      </w:r>
      <w:hyperlink r:id="rId72">
        <w:r>
          <w:rPr>
            <w:lang w:val="es_ES" w:bidi="es_ES"/>
          </w:rPr>
          <w:rPr>
            <w:color w:val="0000EE"/>
            <w:u w:val="single"/>
          </w:rPr>
          <w:t>1 Co 1:18–2:2</w:t>
        </w:r>
      </w:hyperlink>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3">
        <w:r>
          <w:rPr>
            <w:lang w:val="es_ES" w:bidi="es_ES"/>
          </w:rPr>
          <w:rPr>
            <w:color w:val="0000EE"/>
            <w:u w:val="single"/>
          </w:rPr>
          <w:t>2 Co 5:20</w:t>
        </w:r>
      </w:hyperlink>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hyperlink r:id="rId40">
        <w:r>
          <w:rPr>
            <w:lang w:val="es_ES" w:bidi="es_ES"/>
          </w:rPr>
          <w:rPr>
            <w:color w:val="0000EE"/>
            <w:u w:val="single"/>
          </w:rPr>
          <w:t>6:14–7:1</w:t>
        </w:r>
      </w:hyperlink>
      <w:r>
        <w:rPr>
          <w:lang w:val="es_ES" w:bidi="es_ES"/>
        </w:rPr>
        <w:t>) y como una novia (</w:t>
      </w:r>
      <w:hyperlink r:id="rId74">
        <w:r>
          <w:rPr>
            <w:lang w:val="es_ES" w:bidi="es_ES"/>
          </w:rPr>
          <w:rPr>
            <w:color w:val="0000EE"/>
            <w:u w:val="single"/>
          </w:rPr>
          <w:t>11:2</w:t>
        </w:r>
      </w:hyperlink>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hyperlink r:id="rId38">
        <w:r>
          <w:rPr>
            <w:lang w:val="es_ES" w:bidi="es_ES"/>
          </w:rPr>
          <w:rPr>
            <w:color w:val="0000EE"/>
            <w:u w:val="single"/>
          </w:rPr>
          <w:t>8:1–9:15</w:t>
        </w:r>
      </w:hyperlink>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5">
        <w:r>
          <w:rPr>
            <w:lang w:val="es_ES" w:bidi="es_ES"/>
          </w:rPr>
          <w:rPr>
            <w:color w:val="0000EE"/>
            <w:u w:val="single"/>
          </w:rPr>
          <w:t>8:9</w:t>
        </w:r>
      </w:hyperlink>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