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hyperlink r:id="rId15">
        <w:r>
          <w:rPr>
            <w:lang w:val="sw_KE" w:bidi="sw_KE"/>
          </w:rPr>
          <w:rPr>
            <w:color w:val="0000EE"/>
            <w:u w:val="single"/>
          </w:rPr>
          <w:t>Ezra 1:1–5</w:t>
        </w:r>
      </w:hyperlink>
      <w:r>
        <w:rPr>
          <w:lang w:val="sw_KE" w:bidi="sw_KE"/>
        </w:rPr>
        <w:t xml:space="preserve">; </w:t>
      </w:r>
      <w:hyperlink r:id="rId16">
        <w:r>
          <w:rPr>
            <w:lang w:val="sw_KE" w:bidi="sw_KE"/>
          </w:rPr>
          <w:rPr>
            <w:color w:val="0000EE"/>
            <w:u w:val="single"/>
          </w:rPr>
          <w:t>2:64–67</w:t>
        </w:r>
      </w:hyperlink>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hyperlink r:id="rId17">
        <w:r>
          <w:rPr>
            <w:lang w:val="sw_KE" w:bidi="sw_KE"/>
          </w:rPr>
          <w:rPr>
            <w:color w:val="0000EE"/>
            <w:u w:val="single"/>
          </w:rPr>
          <w:t>1:1–2:4</w:t>
        </w:r>
      </w:hyperlink>
      <w:r>
        <w:rPr>
          <w:lang w:val="sw_KE" w:bidi="sw_KE"/>
        </w:rPr>
        <w:t>). Binamu wa Mordekai, Esta, Myahudi, alichaguliwa (</w:t>
      </w:r>
      <w:hyperlink r:id="rId18">
        <w:r>
          <w:rPr>
            <w:lang w:val="sw_KE" w:bidi="sw_KE"/>
          </w:rPr>
          <w:rPr>
            <w:color w:val="0000EE"/>
            <w:u w:val="single"/>
          </w:rPr>
          <w:t>2:5–18</w:t>
        </w:r>
      </w:hyperlink>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9">
        <w:r>
          <w:rPr>
            <w:lang w:val="sw_KE" w:bidi="sw_KE"/>
          </w:rPr>
          <w:rPr>
            <w:color w:val="0000EE"/>
            <w:u w:val="single"/>
          </w:rPr>
          <w:t>2:19–3:15</w:t>
        </w:r>
      </w:hyperlink>
      <w:r>
        <w:rPr>
          <w:lang w:val="sw_KE" w:bidi="sw_KE"/>
        </w:rPr>
        <w:t>). Wakati jamii ya Kiyahudi ilipokuwa ikisali (</w:t>
      </w:r>
      <w:hyperlink r:id="rId20">
        <w:r>
          <w:rPr>
            <w:lang w:val="sw_KE" w:bidi="sw_KE"/>
          </w:rPr>
          <w:rPr>
            <w:color w:val="0000EE"/>
            <w:u w:val="single"/>
          </w:rPr>
          <w:t>4:16</w:t>
        </w:r>
      </w:hyperlink>
      <w:r>
        <w:rPr>
          <w:lang w:val="sw_KE" w:bidi="sw_KE"/>
        </w:rPr>
        <w:t>), Esta alihatarisha maisha yake kwa kumkaribia mfalme bila kualikwa na kumwomba mfalme na Hamani waje kwenye karamu (</w:t>
      </w:r>
      <w:hyperlink r:id="rId21">
        <w:r>
          <w:rPr>
            <w:lang w:val="sw_KE" w:bidi="sw_KE"/>
          </w:rPr>
          <w:rPr>
            <w:color w:val="0000EE"/>
            <w:u w:val="single"/>
          </w:rPr>
          <w:t>sura 4</w:t>
        </w:r>
      </w:hyperlink>
      <w:r>
        <w:rPr>
          <w:lang w:val="sw_KE" w:bidi="sw_KE"/>
        </w:rPr>
        <w:t>). Wakati huo huo, Hamani alikuwa amejenga mti ili amtundike Mordekai (</w:t>
      </w:r>
      <w:hyperlink r:id="rId22">
        <w:r>
          <w:rPr>
            <w:lang w:val="sw_KE" w:bidi="sw_KE"/>
          </w:rPr>
          <w:rPr>
            <w:color w:val="0000EE"/>
            <w:u w:val="single"/>
          </w:rPr>
          <w:t>5:14</w:t>
        </w:r>
      </w:hyperlink>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hyperlink r:id="rId23">
        <w:r>
          <w:rPr>
            <w:lang w:val="sw_KE" w:bidi="sw_KE"/>
          </w:rPr>
          <w:rPr>
            <w:color w:val="0000EE"/>
            <w:u w:val="single"/>
          </w:rPr>
          <w:t>sura ya 6</w:t>
        </w:r>
      </w:hyperlink>
      <w:r>
        <w:rPr>
          <w:lang w:val="sw_KE" w:bidi="sw_KE"/>
        </w:rPr>
        <w:t>). Kisha, kwenye karamu, Esta alifichua kwamba njama ya Hamani ilikuwa shambulio la kibinafsi dhidi ya watu wake. Hamani alidungwa kwenye mti wake mwenyewe na kuuawa kwenye mti wa kunyonga (</w:t>
      </w:r>
      <w:hyperlink r:id="rId24">
        <w:r>
          <w:rPr>
            <w:lang w:val="sw_KE" w:bidi="sw_KE"/>
          </w:rPr>
          <w:rPr>
            <w:color w:val="0000EE"/>
            <w:u w:val="single"/>
          </w:rPr>
          <w:t>sura ya 7</w:t>
        </w:r>
      </w:hyperlink>
      <w:r>
        <w:rPr>
          <w:lang w:val="sw_KE" w:bidi="sw_KE"/>
        </w:rPr>
        <w:t>).</w:t>
      </w:r>
    </w:p>
    <w:p>
      <w:pPr/>
      <w:r>
        <w:rPr>
          <w:lang w:val="sw_KE" w:bidi="sw_KE"/>
        </w:rPr>
      </w:r>
      <w:r>
        <w:rPr>
          <w:lang w:val="sw_KE" w:bidi="sw_KE"/>
        </w:rPr>
        <w:t>Mfalme Ahasuero aliwaruhusu watu wa Kiyahudi kujilinda dhidi ya maadui zao (</w:t>
      </w:r>
      <w:hyperlink r:id="rId25">
        <w:r>
          <w:rPr>
            <w:lang w:val="sw_KE" w:bidi="sw_KE"/>
          </w:rPr>
          <w:rPr>
            <w:color w:val="0000EE"/>
            <w:u w:val="single"/>
          </w:rPr>
          <w:t>8:1–14</w:t>
        </w:r>
      </w:hyperlink>
      <w:r>
        <w:rPr>
          <w:lang w:val="sw_KE" w:bidi="sw_KE"/>
        </w:rPr>
        <w:t>). Wayahudi walifurahia, Mordekai alipandishwa cheo, na wana wa Hamani waliuawa (</w:t>
      </w:r>
      <w:hyperlink r:id="rId26">
        <w:r>
          <w:rPr>
            <w:lang w:val="sw_KE" w:bidi="sw_KE"/>
          </w:rPr>
          <w:rPr>
            <w:color w:val="0000EE"/>
            <w:u w:val="single"/>
          </w:rPr>
          <w:t>9:1–17</w:t>
        </w:r>
      </w:hyperlink>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hyperlink r:id="rId27">
        <w:r>
          <w:rPr>
            <w:lang w:val="sw_KE" w:bidi="sw_KE"/>
          </w:rPr>
          <w:rPr>
            <w:color w:val="0000EE"/>
            <w:u w:val="single"/>
          </w:rPr>
          <w:t>Mwa 37–48</w:t>
        </w:r>
      </w:hyperlink>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7">
        <w:r>
          <w:rPr>
            <w:lang w:val="sw_KE" w:bidi="sw_KE"/>
          </w:rPr>
          <w:rPr>
            <w:color w:val="0000EE"/>
            <w:u w:val="single"/>
          </w:rPr>
          <w:t>Mwa 37–48</w:t>
        </w:r>
      </w:hyperlink>
      <w:r>
        <w:rPr>
          <w:lang w:val="sw_KE" w:bidi="sw_KE"/>
        </w:rPr>
        <w:t xml:space="preserve">; </w:t>
      </w:r>
      <w:hyperlink r:id="rId28">
        <w:r>
          <w:rPr>
            <w:lang w:val="sw_KE" w:bidi="sw_KE"/>
          </w:rPr>
          <w:rPr>
            <w:color w:val="0000EE"/>
            <w:u w:val="single"/>
          </w:rPr>
          <w:t>Ruthu 1–4</w:t>
        </w:r>
      </w:hyperlink>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hyperlink r:id="rId29">
        <w:r>
          <w:rPr>
            <w:lang w:val="sw_KE" w:bidi="sw_KE"/>
          </w:rPr>
          <w:rPr>
            <w:color w:val="0000EE"/>
            <w:u w:val="single"/>
          </w:rPr>
          <w:t>1–2</w:t>
        </w:r>
      </w:hyperlink>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