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i/>
          <w:lang w:val="sw_KE" w:bidi="sw_KE"/>
        </w:rPr>
        <w:t>1 Wakorintho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2"/>
      </w:pPr>
      <w:r>
        <w:rPr>
          <w:lang w:val="sw_KE" w:bidi="sw_KE"/>
        </w:rPr>
        <w:t>Mpangilio</w:t>
      </w:r>
    </w:p>
    <w:p>
      <w:pPr/>
      <w:r>
        <w:rPr>
          <w:lang w:val="sw_KE" w:bidi="sw_KE"/>
        </w:rPr>
      </w:r>
      <w:r>
        <w:rPr>
          <w:lang w:val="sw_KE" w:bidi="sw_KE"/>
        </w:rP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hyperlink r:id="rId15">
        <w:r>
          <w:rPr>
            <w:lang w:val="sw_KE" w:bidi="sw_KE"/>
          </w:rPr>
          <w:rPr>
            <w:color w:val="0000EE"/>
            <w:u w:val="single"/>
          </w:rPr>
          <w:t>5:1–13</w:t>
        </w:r>
      </w:hyperlink>
      <w:r>
        <w:rPr>
          <w:lang w:val="sw_KE" w:bidi="sw_KE"/>
        </w:rPr>
        <w:t xml:space="preserve">; </w:t>
      </w:r>
      <w:hyperlink r:id="rId16">
        <w:r>
          <w:rPr>
            <w:lang w:val="sw_KE" w:bidi="sw_KE"/>
          </w:rPr>
          <w:rPr>
            <w:color w:val="0000EE"/>
            <w:u w:val="single"/>
          </w:rPr>
          <w:t>6:12–20</w:t>
        </w:r>
      </w:hyperlink>
      <w:r>
        <w:rPr>
          <w:lang w:val="sw_KE" w:bidi="sw_KE"/>
        </w:rPr>
        <w:t>).</w:t>
      </w:r>
    </w:p>
    <w:p>
      <w:pPr/>
      <w:r>
        <w:rPr>
          <w:lang w:val="sw_KE" w:bidi="sw_KE"/>
        </w:rPr>
      </w:r>
      <w:r>
        <w:rPr>
          <w:lang w:val="sw_KE" w:bidi="sw_KE"/>
        </w:rP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hyperlink r:id="rId17">
        <w:r>
          <w:rPr>
            <w:lang w:val="sw_KE" w:bidi="sw_KE"/>
          </w:rPr>
          <w:rPr>
            <w:color w:val="0000EE"/>
            <w:u w:val="single"/>
          </w:rPr>
          <w:t>1:10–12</w:t>
        </w:r>
      </w:hyperlink>
      <w:r>
        <w:rPr>
          <w:lang w:val="sw_KE" w:bidi="sw_KE"/>
        </w:rPr>
        <w:t xml:space="preserve">; </w:t>
      </w:r>
      <w:hyperlink r:id="rId18">
        <w:r>
          <w:rPr>
            <w:lang w:val="sw_KE" w:bidi="sw_KE"/>
          </w:rPr>
          <w:rPr>
            <w:color w:val="0000EE"/>
            <w:u w:val="single"/>
          </w:rPr>
          <w:t>3:1–4</w:t>
        </w:r>
      </w:hyperlink>
      <w:r>
        <w:rPr>
          <w:lang w:val="sw_KE" w:bidi="sw_KE"/>
        </w:rPr>
        <w:t>).</w:t>
      </w:r>
    </w:p>
    <w:p>
      <w:pPr/>
      <w:r>
        <w:rPr>
          <w:lang w:val="sw_KE" w:bidi="sw_KE"/>
        </w:rPr>
      </w:r>
      <w:r>
        <w:rPr>
          <w:lang w:val="sw_KE" w:bidi="sw_KE"/>
        </w:rP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hyperlink r:id="rId19">
        <w:r>
          <w:rPr>
            <w:lang w:val="sw_KE" w:bidi="sw_KE"/>
          </w:rPr>
          <w:rPr>
            <w:color w:val="0000EE"/>
            <w:u w:val="single"/>
          </w:rPr>
          <w:t>Matendo 18:1–17</w:t>
        </w:r>
      </w:hyperlink>
      <w:r>
        <w:rPr>
          <w:lang w:val="sw_KE" w:bidi="sw_KE"/>
        </w:rPr>
        <w:t>). Wayahudi walipompeleka mahakamani kwa madai ya kuvunja sheria, gavana Galio alitupilia mbali kesi hiyo kwa sababu ilikuwa ni mgogoro wa kidini. Akiwa na uhuru wa kuhubiri, Paulo alipata wafuasi kadhaa na kuanzisha kanisa huko kabla ya kuondoka.</w:t>
      </w:r>
    </w:p>
    <w:p>
      <w:pPr/>
      <w:r>
        <w:rPr>
          <w:lang w:val="sw_KE" w:bidi="sw_KE"/>
        </w:rPr>
      </w:r>
      <w:r>
        <w:rPr>
          <w:lang w:val="sw_KE" w:bidi="sw_KE"/>
        </w:rP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2"/>
      </w:pPr>
      <w:r>
        <w:rPr>
          <w:lang w:val="sw_KE" w:bidi="sw_KE"/>
        </w:rPr>
        <w:t>Muhtasari</w:t>
      </w:r>
    </w:p>
    <w:p>
      <w:pPr/>
      <w:r>
        <w:rPr>
          <w:lang w:val="sw_KE" w:bidi="sw_KE"/>
        </w:rPr>
      </w:r>
      <w:r>
        <w:rPr>
          <w:lang w:val="sw_KE" w:bidi="sw_KE"/>
        </w:rP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Pr>
          <w:lang w:val="sw_KE" w:bidi="sw_KE"/>
        </w:rPr>
      </w:r>
      <w:r>
        <w:rPr>
          <w:lang w:val="sw_KE" w:bidi="sw_KE"/>
        </w:rPr>
        <w:t>Ukosoaji wa mbinu ya Paulo isiyozingatia akili katika uinjilisti (</w:t>
      </w:r>
      <w:hyperlink r:id="rId20">
        <w:r>
          <w:rPr>
            <w:lang w:val="sw_KE" w:bidi="sw_KE"/>
          </w:rPr>
          <w:rPr>
            <w:color w:val="0000EE"/>
            <w:u w:val="single"/>
          </w:rPr>
          <w:t>1:1–4:21</w:t>
        </w:r>
      </w:hyperlink>
      <w:r>
        <w:rPr>
          <w:lang w:val="sw_KE" w:bidi="sw_KE"/>
        </w:rPr>
        <w:t>)</w:t>
      </w:r>
    </w:p>
    <w:p>
      <w:pPr>
        <w:pStyle w:val="ListBullet"/>
        <w:spacing w:line="240" w:lineRule="auto"/>
        <w:ind w:left="720"/>
      </w:pPr>
      <w:r>
        <w:rPr>
          <w:lang w:val="sw_KE" w:bidi="sw_KE"/>
        </w:rPr>
      </w:r>
      <w:r>
        <w:rPr>
          <w:lang w:val="sw_KE" w:bidi="sw_KE"/>
        </w:rPr>
        <w:t>Kesi ya wazi ya uzinzi katika kanisa (</w:t>
      </w:r>
      <w:hyperlink r:id="rId15">
        <w:r>
          <w:rPr>
            <w:lang w:val="sw_KE" w:bidi="sw_KE"/>
          </w:rPr>
          <w:rPr>
            <w:color w:val="0000EE"/>
            <w:u w:val="single"/>
          </w:rPr>
          <w:t>5:1–13</w:t>
        </w:r>
      </w:hyperlink>
      <w:r>
        <w:rPr>
          <w:lang w:val="sw_KE" w:bidi="sw_KE"/>
        </w:rPr>
        <w:t>)</w:t>
      </w:r>
    </w:p>
    <w:p>
      <w:pPr>
        <w:pStyle w:val="ListBullet"/>
        <w:spacing w:line="240" w:lineRule="auto"/>
        <w:ind w:left="720"/>
      </w:pPr>
      <w:r>
        <w:rPr>
          <w:lang w:val="sw_KE" w:bidi="sw_KE"/>
        </w:rPr>
      </w:r>
      <w:r>
        <w:rPr>
          <w:lang w:val="sw_KE" w:bidi="sw_KE"/>
        </w:rPr>
        <w:t>Tabia ya kuwapeleka waumini wenzao mahakamani mbele ya waamuzi wasio waumini (</w:t>
      </w:r>
      <w:hyperlink r:id="rId21">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Matatizo ya uzinzi (</w:t>
      </w:r>
      <w:hyperlink r:id="rId21">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Mafundisho kuhusu ndoa, talaka, na kubaki mseja (</w:t>
      </w:r>
      <w:hyperlink r:id="rId22">
        <w:r>
          <w:rPr>
            <w:lang w:val="sw_KE" w:bidi="sw_KE"/>
          </w:rPr>
          <w:rPr>
            <w:color w:val="0000EE"/>
            <w:u w:val="single"/>
          </w:rPr>
          <w:t>7:1–40</w:t>
        </w:r>
      </w:hyperlink>
      <w:r>
        <w:rPr>
          <w:lang w:val="sw_KE" w:bidi="sw_KE"/>
        </w:rPr>
        <w:t>)</w:t>
      </w:r>
    </w:p>
    <w:p>
      <w:pPr>
        <w:pStyle w:val="ListBullet"/>
        <w:spacing w:line="240" w:lineRule="auto"/>
        <w:ind w:left="720"/>
      </w:pPr>
      <w:r>
        <w:rPr>
          <w:lang w:val="sw_KE" w:bidi="sw_KE"/>
        </w:rPr>
      </w:r>
      <w:r>
        <w:rPr>
          <w:lang w:val="sw_KE" w:bidi="sw_KE"/>
        </w:rPr>
        <w:t>Swali la ikiwa waumini wanaruhusiwa kula nyama iliyotolewa dhabihu kwa sanamu za kipagani (</w:t>
      </w:r>
      <w:hyperlink r:id="rId23">
        <w:r>
          <w:rPr>
            <w:lang w:val="sw_KE" w:bidi="sw_KE"/>
          </w:rPr>
          <w:rPr>
            <w:color w:val="0000EE"/>
            <w:u w:val="single"/>
          </w:rPr>
          <w:t>8:1–10:33</w:t>
        </w:r>
      </w:hyperlink>
      <w:r>
        <w:rPr>
          <w:lang w:val="sw_KE" w:bidi="sw_KE"/>
        </w:rPr>
        <w:t>)</w:t>
      </w:r>
    </w:p>
    <w:p>
      <w:pPr>
        <w:pStyle w:val="ListBullet"/>
        <w:spacing w:line="240" w:lineRule="auto"/>
        <w:ind w:left="720"/>
      </w:pPr>
      <w:r>
        <w:rPr>
          <w:lang w:val="sw_KE" w:bidi="sw_KE"/>
        </w:rPr>
      </w:r>
      <w:r>
        <w:rPr>
          <w:lang w:val="sw_KE" w:bidi="sw_KE"/>
        </w:rPr>
        <w:t>Suala la mavazi yanayofaa kwa wanawake wanaohudumu hadharani (</w:t>
      </w:r>
      <w:hyperlink r:id="rId24">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Tabia isiyoheshimu na isiyofaa katika kupokea Chakula cha Bwana (</w:t>
      </w:r>
      <w:hyperlink r:id="rId24">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Mitazamo potofu kuhusu vipawa vya kiroho na mazoezi yake (</w:t>
      </w:r>
      <w:hyperlink r:id="rId25">
        <w:r>
          <w:rPr>
            <w:lang w:val="sw_KE" w:bidi="sw_KE"/>
          </w:rPr>
          <w:rPr>
            <w:color w:val="0000EE"/>
            <w:u w:val="single"/>
          </w:rPr>
          <w:t>12:1–14:40</w:t>
        </w:r>
      </w:hyperlink>
      <w:r>
        <w:rPr>
          <w:lang w:val="sw_KE" w:bidi="sw_KE"/>
        </w:rPr>
        <w:t>)</w:t>
      </w:r>
    </w:p>
    <w:p>
      <w:pPr>
        <w:pStyle w:val="ListBullet"/>
        <w:spacing w:line="240" w:lineRule="auto"/>
        <w:ind w:left="720"/>
      </w:pPr>
      <w:r>
        <w:rPr>
          <w:lang w:val="sw_KE" w:bidi="sw_KE"/>
        </w:rPr>
      </w:r>
      <w:r>
        <w:rPr>
          <w:lang w:val="sw_KE" w:bidi="sw_KE"/>
        </w:rPr>
        <w:t>Maswali kuhusu ufufuo wa wafu ujao (</w:t>
      </w:r>
      <w:hyperlink r:id="rId26">
        <w:r>
          <w:rPr>
            <w:lang w:val="sw_KE" w:bidi="sw_KE"/>
          </w:rPr>
          <w:rPr>
            <w:color w:val="0000EE"/>
            <w:u w:val="single"/>
          </w:rPr>
          <w:t>15:1–58</w:t>
        </w:r>
      </w:hyperlink>
      <w:r>
        <w:rPr>
          <w:lang w:val="sw_KE" w:bidi="sw_KE"/>
        </w:rPr>
        <w:t>)</w:t>
      </w:r>
    </w:p>
    <w:p>
      <w:pPr>
        <w:pStyle w:val="Heading2"/>
      </w:pPr>
      <w:r>
        <w:rPr>
          <w:lang w:val="sw_KE" w:bidi="sw_KE"/>
        </w:rPr>
        <w:t>Uandishi</w:t>
      </w:r>
    </w:p>
    <w:p>
      <w:pPr/>
      <w:r>
        <w:rPr>
          <w:lang w:val="sw_KE" w:bidi="sw_KE"/>
        </w:rPr>
      </w:r>
      <w:r>
        <w:rPr>
          <w:lang w:val="sw_KE" w:bidi="sw_KE"/>
        </w:rPr>
        <w:t xml:space="preserve">Paulo anakubalika sana kama mwandishi wa 1 Wakorintho. Hata hivyo, baadhi ya watu wanahoji uhalisia wa </w:t>
      </w:r>
      <w:hyperlink r:id="rId27">
        <w:r>
          <w:rPr>
            <w:lang w:val="sw_KE" w:bidi="sw_KE"/>
          </w:rPr>
          <w:rPr>
            <w:color w:val="0000EE"/>
            <w:u w:val="single"/>
          </w:rPr>
          <w:t>14:34–35</w:t>
        </w:r>
      </w:hyperlink>
      <w:r>
        <w:rPr>
          <w:lang w:val="sw_KE" w:bidi="sw_KE"/>
        </w:rPr>
        <w:t xml:space="preserve"> (tazama maelezo ya masomo hapo). Kwa mujibu wa desturi ya kawaida ya ulimwengu wa kale, Paulo alitumia mwandishi (katibu) kuandika barua hiyo (tazama </w:t>
      </w:r>
      <w:hyperlink r:id="rId28">
        <w:r>
          <w:rPr>
            <w:lang w:val="sw_KE" w:bidi="sw_KE"/>
          </w:rPr>
          <w:rPr>
            <w:color w:val="0000EE"/>
            <w:u w:val="single"/>
          </w:rPr>
          <w:t>16:21</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Barua hii kwa kanisa la Korintho iliandikwa wakati wa safari ya tatu ya kimishonari ya Paulo, alipokuwa akikaa kwa miaka miwili hadi mitatu huko Efeso (karibu mwaka wa 53–56 BK; tazama </w:t>
      </w:r>
      <w:hyperlink r:id="rId29">
        <w:r>
          <w:rPr>
            <w:lang w:val="sw_KE" w:bidi="sw_KE"/>
          </w:rPr>
          <w:rPr>
            <w:color w:val="0000EE"/>
            <w:u w:val="single"/>
          </w:rPr>
          <w:t>Matendo 19:1–41</w:t>
        </w:r>
      </w:hyperlink>
      <w:r>
        <w:rPr>
          <w:lang w:val="sw_KE" w:bidi="sw_KE"/>
        </w:rPr>
        <w:t xml:space="preserve">). Paulo alikuwa ameandika barua ya awali kwa kanisa la Korintho (tazama </w:t>
      </w:r>
      <w:hyperlink r:id="rId30">
        <w:r>
          <w:rPr>
            <w:lang w:val="sw_KE" w:bidi="sw_KE"/>
          </w:rPr>
          <w:rPr>
            <w:color w:val="0000EE"/>
            <w:u w:val="single"/>
          </w:rPr>
          <w:t>1 Kor 5:9</w:t>
        </w:r>
      </w:hyperlink>
      <w:r>
        <w:rPr>
          <w:lang w:val="sw_KE" w:bidi="sw_KE"/>
        </w:rPr>
        <w:t xml:space="preserve">), na Wakorintho walikuwa wamemjibu, wakimuuliza ushauri wake kuhusu masuala kadhaa (tazama, kwa mfano, </w:t>
      </w:r>
      <w:hyperlink r:id="rId31">
        <w:r>
          <w:rPr>
            <w:lang w:val="sw_KE" w:bidi="sw_KE"/>
          </w:rPr>
          <w:rPr>
            <w:color w:val="0000EE"/>
            <w:u w:val="single"/>
          </w:rPr>
          <w:t>7:1</w:t>
        </w:r>
      </w:hyperlink>
      <w:r>
        <w:rPr>
          <w:lang w:val="sw_KE" w:bidi="sw_KE"/>
        </w:rPr>
        <w:t xml:space="preserve">). Alikuwa pia amepokea ripoti kutoka kwa wageni waliotoka Korintho (tazama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16:15–17</w:t>
        </w:r>
      </w:hyperlink>
      <w:r>
        <w:rPr>
          <w:lang w:val="sw_KE" w:bidi="sw_KE"/>
        </w:rPr>
        <w:t xml:space="preserve">), ambazo zilimfahamisha matatizo kadhaa yanayolikabili kanisa hilo changa. Barua hii, iliyojaa ushauri juu ya masuala maalum, ni jibu lake. Inawezekana ilifikishwa na Stefana, Fortunato, na Achaiko (tazama </w:t>
      </w:r>
      <w:hyperlink r:id="rId33">
        <w:r>
          <w:rPr>
            <w:lang w:val="sw_KE" w:bidi="sw_KE"/>
          </w:rPr>
          <w:rPr>
            <w:color w:val="0000EE"/>
            <w:u w:val="single"/>
          </w:rPr>
          <w:t>16:15–17</w:t>
        </w:r>
      </w:hyperlink>
      <w:r>
        <w:rPr>
          <w:lang w:val="sw_KE" w:bidi="sw_KE"/>
        </w:rPr>
        <w:t>) waliporudi Korintho.</w:t>
      </w:r>
    </w:p>
    <w:p>
      <w:pPr/>
      <w:r>
        <w:rPr>
          <w:lang w:val="sw_KE" w:bidi="sw_KE"/>
        </w:rPr>
      </w:r>
      <w:r>
        <w:rPr>
          <w:lang w:val="sw_KE" w:bidi="sw_KE"/>
        </w:rP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hyperlink r:id="rId34">
        <w:r>
          <w:rPr>
            <w:lang w:val="sw_KE" w:bidi="sw_KE"/>
          </w:rPr>
          <w:rPr>
            <w:color w:val="0000EE"/>
            <w:u w:val="single"/>
          </w:rPr>
          <w:t>2 Wakor 2:1–11</w:t>
        </w:r>
      </w:hyperlink>
      <w:r>
        <w:rPr>
          <w:lang w:val="sw_KE" w:bidi="sw_KE"/>
        </w:rPr>
        <w:t xml:space="preserve">; </w:t>
      </w:r>
      <w:hyperlink r:id="rId35">
        <w:r>
          <w:rPr>
            <w:lang w:val="sw_KE" w:bidi="sw_KE"/>
          </w:rPr>
          <w:rPr>
            <w:color w:val="0000EE"/>
            <w:u w:val="single"/>
          </w:rPr>
          <w:t>7:8–10</w:t>
        </w:r>
      </w:hyperlink>
      <w:r>
        <w:rPr>
          <w:lang w:val="sw_KE" w:bidi="sw_KE"/>
        </w:rPr>
        <w:t xml:space="preserve">; </w:t>
      </w:r>
      <w:r>
        <w:rPr>
          <w:lang w:val="sw_KE" w:bidi="sw_KE"/>
        </w:rPr>
        <w:t>Utangulizi wa Kitabu cha 2 Wakorintho, “Tarehe na Sababu ya uandishi”</w:t>
      </w:r>
      <w:r>
        <w:rPr>
          <w:lang w:val="sw_KE" w:bidi="sw_KE"/>
        </w:rPr>
        <w:t>).</w:t>
      </w:r>
    </w:p>
    <w:p>
      <w:pPr>
        <w:pStyle w:val="Heading2"/>
      </w:pPr>
      <w:r>
        <w:rPr>
          <w:lang w:val="sw_KE" w:bidi="sw_KE"/>
        </w:rPr>
        <w:t>Maana na Ujumbe</w:t>
      </w:r>
    </w:p>
    <w:p>
      <w:pPr/>
      <w:r>
        <w:rPr>
          <w:lang w:val="sw_KE" w:bidi="sw_KE"/>
        </w:rPr>
      </w:r>
      <w:r>
        <w:rPr>
          <w:lang w:val="sw_KE" w:bidi="sw_KE"/>
        </w:rPr>
        <w:t>Kwenye 1 Wakorintho, tunapata mwanga wa kuvutia kuhusu jinsi maisha yalivyokuwa katika kanisa la awali. Tunaona baadhi ya matatizo ya kivitendo ambayo Wakristo wa mwanzo walikabiliana nayo walipoishi katika mazingira ya kipagani na jinsi walivyoyashughulikia.</w:t>
      </w:r>
    </w:p>
    <w:p>
      <w:pPr/>
      <w:r>
        <w:rPr>
          <w:lang w:val="sw_KE" w:bidi="sw_KE"/>
        </w:rPr>
      </w:r>
      <w:r>
        <w:rPr>
          <w:lang w:val="sw_KE" w:bidi="sw_KE"/>
        </w:rP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pPr/>
      <w:r>
        <w:rPr>
          <w:lang w:val="sw_KE" w:bidi="sw_KE"/>
        </w:rPr>
      </w:r>
      <w:r>
        <w:rPr>
          <w:lang w:val="sw_KE" w:bidi="sw_KE"/>
        </w:rPr>
        <w:t>Kwa mfano, Paulo anapozungumzia masuala ya maadili ya kijinsia (</w:t>
      </w:r>
      <w:hyperlink r:id="rId36">
        <w:r>
          <w:rPr>
            <w:lang w:val="sw_KE" w:bidi="sw_KE"/>
          </w:rPr>
          <w:rPr>
            <w:color w:val="0000EE"/>
            <w:u w:val="single"/>
          </w:rPr>
          <w:t>5:1–6:20</w:t>
        </w:r>
      </w:hyperlink>
      <w:r>
        <w:rPr>
          <w:lang w:val="sw_KE" w:bidi="sw_KE"/>
        </w:rPr>
        <w:t>), anakumbusha kanisa kwamba waumini wamefanywa wapya kupitia dhabihu ya Kristo na wanapaswa kuishi ipasavyo. Wito wake wa uaminifu si kwamba wanapaswa kushika sheria ya Mose, bali wanapaswa kuelewa maana ya kuungana na Kristo na kuwa hekalu la Roho Mtakatifu (</w:t>
      </w:r>
      <w:hyperlink r:id="rId37">
        <w:r>
          <w:rPr>
            <w:lang w:val="sw_KE" w:bidi="sw_KE"/>
          </w:rPr>
          <w:rPr>
            <w:color w:val="0000EE"/>
            <w:u w:val="single"/>
          </w:rPr>
          <w:t>6:15–20</w:t>
        </w:r>
      </w:hyperlink>
      <w:r>
        <w:rPr>
          <w:lang w:val="sw_KE" w:bidi="sw_KE"/>
        </w:rPr>
        <w:t>).</w:t>
      </w:r>
    </w:p>
    <w:p>
      <w:pPr/>
      <w:r>
        <w:rPr>
          <w:lang w:val="sw_KE" w:bidi="sw_KE"/>
        </w:rPr>
      </w:r>
      <w:r>
        <w:rPr>
          <w:lang w:val="sw_KE" w:bidi="sw_KE"/>
        </w:rPr>
        <w:t>Paulo anapowakataza waumini kupeleka mashtaka yao kwenye mahakama za kipagani (</w:t>
      </w:r>
      <w:hyperlink r:id="rId38">
        <w:r>
          <w:rPr>
            <w:lang w:val="sw_KE" w:bidi="sw_KE"/>
          </w:rPr>
          <w:rPr>
            <w:color w:val="0000EE"/>
            <w:u w:val="single"/>
          </w:rPr>
          <w:t>6:1–8</w:t>
        </w:r>
      </w:hyperlink>
      <w:r>
        <w:rPr>
          <w:lang w:val="sw_KE" w:bidi="sw_KE"/>
        </w:rPr>
        <w:t>), ana wasiwasi kuhusu athari kwenye ushuhuda wao kama Wakristo. Anawahimiza kuachana na haki zao kwa upendo kwa ajili ya wengine, kama Kristo alivyofanya. Kifo cha Kristo kimemfundisha kwamba upendo wa Kikristo unahitaji kujitoa mhanga.</w:t>
      </w:r>
    </w:p>
    <w:p>
      <w:pPr/>
      <w:r>
        <w:rPr>
          <w:lang w:val="sw_KE" w:bidi="sw_KE"/>
        </w:rPr>
      </w:r>
      <w:r>
        <w:rPr>
          <w:lang w:val="sw_KE" w:bidi="sw_KE"/>
        </w:rPr>
        <w:t>Paulo anapotoa ushauri kuhusu ndoa (</w:t>
      </w:r>
      <w:hyperlink r:id="rId22">
        <w:r>
          <w:rPr>
            <w:lang w:val="sw_KE" w:bidi="sw_KE"/>
          </w:rPr>
          <w:rPr>
            <w:color w:val="0000EE"/>
            <w:u w:val="single"/>
          </w:rPr>
          <w:t>7:1–40</w:t>
        </w:r>
      </w:hyperlink>
      <w:r>
        <w:rPr>
          <w:lang w:val="sw_KE" w:bidi="sw_KE"/>
        </w:rPr>
        <w:t>), anawahimiza wale ambao hawajaolewa katika muktadha huo kubaki bila kuoa ili waweze kujitolea zaidi kwa huduma ya Kristo. Wakristo wanadaiwa na Kristo na hawawezi tena kuishi kwa ajili yao wenyewe tu.</w:t>
      </w:r>
    </w:p>
    <w:p>
      <w:pPr/>
      <w:r>
        <w:rPr>
          <w:lang w:val="sw_KE" w:bidi="sw_KE"/>
        </w:rPr>
      </w:r>
      <w:r>
        <w:rPr>
          <w:lang w:val="sw_KE" w:bidi="sw_KE"/>
        </w:rPr>
        <w:t>Anapozungumzia uhuru wa waumini kula nyama iliyotolewa dhabihu kwa sanamu za kipagani (</w:t>
      </w:r>
      <w:hyperlink r:id="rId39">
        <w:r>
          <w:rPr>
            <w:lang w:val="sw_KE" w:bidi="sw_KE"/>
          </w:rPr>
          <w:rPr>
            <w:color w:val="0000EE"/>
            <w:u w:val="single"/>
          </w:rPr>
          <w:t>8:1–13</w:t>
        </w:r>
      </w:hyperlink>
      <w:r>
        <w:rPr>
          <w:lang w:val="sw_KE" w:bidi="sw_KE"/>
        </w:rPr>
        <w:t xml:space="preserve">; </w:t>
      </w:r>
      <w:hyperlink r:id="rId40">
        <w:r>
          <w:rPr>
            <w:lang w:val="sw_KE" w:bidi="sw_KE"/>
          </w:rPr>
          <w:rPr>
            <w:color w:val="0000EE"/>
            <w:u w:val="single"/>
          </w:rPr>
          <w:t>10:1–11:1</w:t>
        </w:r>
      </w:hyperlink>
      <w:r>
        <w:rPr>
          <w:lang w:val="sw_KE" w:bidi="sw_KE"/>
        </w:rP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pPr/>
      <w:r>
        <w:rPr>
          <w:lang w:val="sw_KE" w:bidi="sw_KE"/>
        </w:rPr>
      </w:r>
      <w:r>
        <w:rPr>
          <w:lang w:val="sw_KE" w:bidi="sw_KE"/>
        </w:rPr>
        <w:t xml:space="preserve">Kulingana na mawazo ya Paulo, tabia ya Kikristo ni jibu la shukrani kwa rehema na neema ya Mungu, iliyoonyeshwa katika Kristo na kuwasilishwa kupitia Habari Njema. Maisha yote ya muumini yanapaswa kuonyesha ibada kwa Mungu na upendo kwa wengine (tazama </w:t>
      </w:r>
      <w:hyperlink r:id="rId41">
        <w:r>
          <w:rPr>
            <w:lang w:val="sw_KE" w:bidi="sw_KE"/>
          </w:rPr>
          <w:rPr>
            <w:color w:val="0000EE"/>
            <w:u w:val="single"/>
          </w:rPr>
          <w:t>10:31–33</w:t>
        </w:r>
      </w:hyperlink>
      <w:r>
        <w:rPr>
          <w:lang w:val="sw_KE" w:bidi="sw_KE"/>
        </w:rPr>
        <w:t>). Hii inalingana na amri mbili kuu za upendo za Yesu kwa Paulo (</w:t>
      </w:r>
      <w:hyperlink r:id="rId42">
        <w:r>
          <w:rPr>
            <w:lang w:val="sw_KE" w:bidi="sw_KE"/>
          </w:rPr>
          <w:rPr>
            <w:color w:val="0000EE"/>
            <w:u w:val="single"/>
          </w:rPr>
          <w:t>Matt 22:36–40</w:t>
        </w:r>
      </w:hyperlink>
      <w:r>
        <w:rPr>
          <w:lang w:val="sw_KE" w:bidi="sw_KE"/>
        </w:rPr>
        <w:t xml:space="preserve">; </w:t>
      </w:r>
      <w:hyperlink r:id="rId43">
        <w:r>
          <w:rPr>
            <w:lang w:val="sw_KE" w:bidi="sw_KE"/>
          </w:rPr>
          <w:rPr>
            <w:color w:val="0000EE"/>
            <w:u w:val="single"/>
          </w:rPr>
          <w:t>Luka 10:25–37</w:t>
        </w:r>
      </w:hyperlink>
      <w:r>
        <w:rPr>
          <w:lang w:val="sw_KE" w:bidi="sw_KE"/>
        </w:rPr>
        <w:t>). Katika barua hii, tunaona kwa uwazi zaidi kuliko mahali pengine jinsi Paulo anavyotumia kanuni hizi za kudumu kwa anuwai ya matatizo ya vitendo.</w:t>
      </w:r>
    </w:p>
    <w:p>
      <w:pPr/>
      <w:r>
        <w:rPr>
          <w:lang w:val="sw_KE" w:bidi="sw_KE"/>
        </w:rPr>
      </w:r>
      <w:r>
        <w:rPr>
          <w:lang w:val="sw_KE" w:bidi="sw_KE"/>
        </w:rPr>
        <w:t>Uelewa wa Paulo kuhusu Uinjilisti. Wakati Paulo anakosolewa kwa mbinu yake isiyo na polish na isiyo ya kiakili katika uinjilisti (</w:t>
      </w:r>
      <w:hyperlink r:id="rId20">
        <w:r>
          <w:rPr>
            <w:lang w:val="sw_KE" w:bidi="sw_KE"/>
          </w:rPr>
          <w:rPr>
            <w:color w:val="0000EE"/>
            <w:u w:val="single"/>
          </w:rPr>
          <w:t>1 Kor 1:1–4:21</w:t>
        </w:r>
      </w:hyperlink>
      <w:r>
        <w:rPr>
          <w:lang w:val="sw_KE" w:bidi="sw_KE"/>
        </w:rP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pPr/>
      <w:r>
        <w:rPr>
          <w:lang w:val="sw_KE" w:bidi="sw_KE"/>
        </w:rPr>
      </w:r>
      <w:r>
        <w:rPr>
          <w:lang w:val="sw_KE" w:bidi="sw_KE"/>
        </w:rPr>
        <w:t xml:space="preserve">Umoja na Upendo katika kanisa. Umoja miongoni mwa waumini ni mada muhimu katika barua hii, kwani masuala kadhaa ambayo Paulo anashughulikia yanaonekana kugawanya kanisa (tazama </w:t>
      </w:r>
      <w:hyperlink r:id="rId44">
        <w:r>
          <w:rPr>
            <w:lang w:val="sw_KE" w:bidi="sw_KE"/>
          </w:rPr>
          <w:rPr>
            <w:color w:val="0000EE"/>
            <w:u w:val="single"/>
          </w:rPr>
          <w:t>1:10–4:21</w:t>
        </w:r>
      </w:hyperlink>
      <w:r>
        <w:rPr>
          <w:lang w:val="sw_KE" w:bidi="sw_KE"/>
        </w:rPr>
        <w:t xml:space="preserve">, vikundi katika kanisa; </w:t>
      </w:r>
      <w:hyperlink r:id="rId45">
        <w:r>
          <w:rPr>
            <w:lang w:val="sw_KE" w:bidi="sw_KE"/>
          </w:rPr>
          <w:rPr>
            <w:color w:val="0000EE"/>
            <w:u w:val="single"/>
          </w:rPr>
          <w:t>6:1–12</w:t>
        </w:r>
      </w:hyperlink>
      <w:r>
        <w:rPr>
          <w:lang w:val="sw_KE" w:bidi="sw_KE"/>
        </w:rPr>
        <w:t xml:space="preserve">, kesi za kisheria dhidi ya Wakristo wenzao; </w:t>
      </w:r>
      <w:hyperlink r:id="rId46">
        <w:r>
          <w:rPr>
            <w:lang w:val="sw_KE" w:bidi="sw_KE"/>
          </w:rPr>
          <w:rPr>
            <w:color w:val="0000EE"/>
            <w:u w:val="single"/>
          </w:rPr>
          <w:t>8:1–11:1</w:t>
        </w:r>
      </w:hyperlink>
      <w:r>
        <w:rPr>
          <w:lang w:val="sw_KE" w:bidi="sw_KE"/>
        </w:rPr>
        <w:t xml:space="preserve">, maoni tofauti juu ya chakula kilichotolewa kwa sanamu; </w:t>
      </w:r>
      <w:hyperlink r:id="rId47">
        <w:r>
          <w:rPr>
            <w:lang w:val="sw_KE" w:bidi="sw_KE"/>
          </w:rPr>
          <w:rPr>
            <w:color w:val="0000EE"/>
            <w:u w:val="single"/>
          </w:rPr>
          <w:t>11:2–16</w:t>
        </w:r>
      </w:hyperlink>
      <w:r>
        <w:rPr>
          <w:lang w:val="sw_KE" w:bidi="sw_KE"/>
        </w:rPr>
        <w:t xml:space="preserve">, maoni tofauti juu ya mavazi yanayofaa kwa wanawake wanaohudumu hadharani; </w:t>
      </w:r>
      <w:hyperlink r:id="rId48">
        <w:r>
          <w:rPr>
            <w:lang w:val="sw_KE" w:bidi="sw_KE"/>
          </w:rPr>
          <w:rPr>
            <w:color w:val="0000EE"/>
            <w:u w:val="single"/>
          </w:rPr>
          <w:t>11:17–34</w:t>
        </w:r>
      </w:hyperlink>
      <w:r>
        <w:rPr>
          <w:lang w:val="sw_KE" w:bidi="sw_KE"/>
        </w:rP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hyperlink r:id="rId49">
        <w:r>
          <w:rPr>
            <w:lang w:val="sw_KE" w:bidi="sw_KE"/>
          </w:rPr>
          <w:rPr>
            <w:color w:val="0000EE"/>
            <w:u w:val="single"/>
          </w:rPr>
          <w:t>13</w:t>
        </w:r>
      </w:hyperlink>
      <w:r>
        <w:rPr>
          <w:lang w:val="sw_KE" w:bidi="sw_KE"/>
        </w:rPr>
        <w:t>), inasisitiza umuhimu wa kuhusiana na waumini wengine kwa upendo wa kujitolea, aina ya upendo ulioonyeshwa na Kristo mwenyewe.</w:t>
      </w:r>
    </w:p>
    <w:p>
      <w:pPr/>
      <w:r>
        <w:rPr>
          <w:lang w:val="sw_KE" w:bidi="sw_KE"/>
        </w:rPr>
      </w:r>
      <w:r>
        <w:rPr>
          <w:lang w:val="sw_KE" w:bidi="sw_KE"/>
        </w:rPr>
        <w:t xml:space="preserve">Ndoa, Talaka, na Maisha ya Ujane. Paulo ana mtazamo wa juu kuhusu ndoa na anapinga vikali talaka. Kwa kuzingatia mazingira magumu ya Wakristo katika karne ya kwanza na mtazamo wake wa kurudi kwa Kristo kunakokaribia (tazama </w:t>
      </w:r>
      <w:hyperlink r:id="rId50">
        <w:r>
          <w:rPr>
            <w:lang w:val="sw_KE" w:bidi="sw_KE"/>
          </w:rPr>
          <w:rPr>
            <w:color w:val="0000EE"/>
            <w:u w:val="single"/>
          </w:rPr>
          <w:t>7:25–31</w:t>
        </w:r>
      </w:hyperlink>
      <w:r>
        <w:rPr>
          <w:lang w:val="sw_KE" w:bidi="sw_KE"/>
        </w:rPr>
        <w:t xml:space="preserve">), Paulo anawahimiza wale ambao ni wajane kubaki hivyo, akiona ujane kama fursa ya kujitolea kikamilifu kwa kazi ya Kristo ulimwenguni (tazama </w:t>
      </w:r>
      <w:hyperlink r:id="rId51">
        <w:r>
          <w:rPr>
            <w:lang w:val="sw_KE" w:bidi="sw_KE"/>
          </w:rPr>
          <w:rPr>
            <w:color w:val="0000EE"/>
            <w:u w:val="single"/>
          </w:rPr>
          <w:t>7:32–35</w:t>
        </w:r>
      </w:hyperlink>
      <w:r>
        <w:rPr>
          <w:lang w:val="sw_KE" w:bidi="sw_KE"/>
        </w:rPr>
        <w:t>). Njia hizi mbili za kuishi (ndoa na ujane) si mwisho zenyewe, bali ni njia mbadala za kushiriki katika lengo muhimu zaidi la kumtumikia Kristo.</w:t>
      </w:r>
    </w:p>
    <w:p>
      <w:pPr/>
      <w:r>
        <w:rPr>
          <w:lang w:val="sw_KE" w:bidi="sw_KE"/>
        </w:rPr>
      </w:r>
      <w:r>
        <w:rPr>
          <w:lang w:val="sw_KE" w:bidi="sw_KE"/>
        </w:rPr>
        <w:t xml:space="preserve">Meza ya Bwana. Barua hii inatoa mwanga mkubwa juu ya ufahamu na mazoea ya Wakristo wa mapema kuhusu meza ya Bwana, ikitoa maelezo ya kina ya kipekee katika Agano Jipya (sura </w:t>
      </w:r>
      <w:hyperlink r:id="rId52">
        <w:r>
          <w:rPr>
            <w:lang w:val="sw_KE" w:bidi="sw_KE"/>
          </w:rPr>
          <w:rPr>
            <w:color w:val="0000EE"/>
            <w:u w:val="single"/>
          </w:rPr>
          <w:t>10–11</w:t>
        </w:r>
      </w:hyperlink>
      <w:r>
        <w:rPr>
          <w:lang w:val="sw_KE" w:bidi="sw_KE"/>
        </w:rPr>
        <w:t>).</w:t>
      </w:r>
    </w:p>
    <w:p>
      <w:pPr/>
      <w:r>
        <w:rPr>
          <w:lang w:val="sw_KE" w:bidi="sw_KE"/>
        </w:rPr>
      </w:r>
      <w:r>
        <w:rPr>
          <w:lang w:val="sw_KE" w:bidi="sw_KE"/>
        </w:rPr>
        <w:t xml:space="preserve">Kanisa kama Mwili. Paulo analiona kanisa kama mwili wenye nguvu, unaoongozwa na Roho, ulioundwa na sehemu tofauti, kila moja ikiwa na kazi yake ya kipekee ya kufanya (sura </w:t>
      </w:r>
      <w:hyperlink r:id="rId53">
        <w:r>
          <w:rPr>
            <w:lang w:val="sw_KE" w:bidi="sw_KE"/>
          </w:rPr>
          <w:rPr>
            <w:color w:val="0000EE"/>
            <w:u w:val="single"/>
          </w:rPr>
          <w:t>12</w:t>
        </w:r>
      </w:hyperlink>
      <w:r>
        <w:rPr>
          <w:lang w:val="sw_KE" w:bidi="sw_KE"/>
        </w:rPr>
        <w:t xml:space="preserve">, </w:t>
      </w:r>
      <w:hyperlink r:id="rId54">
        <w:r>
          <w:rPr>
            <w:lang w:val="sw_KE" w:bidi="sw_KE"/>
          </w:rPr>
          <w:rPr>
            <w:color w:val="0000EE"/>
            <w:u w:val="single"/>
          </w:rPr>
          <w:t>14</w:t>
        </w:r>
      </w:hyperlink>
      <w:r>
        <w:rPr>
          <w:lang w:val="sw_KE" w:bidi="sw_KE"/>
        </w:rPr>
        <w:t>). Katika siku hizi za mwanzo za harakati za Kikristo, hakuna tofauti kati ya makasisi na waumini wa kawaida, lakini majukumu tofauti huunda huduma inayosaidiana ya vipawa vya Roho wakati Wakristo wanapokusanyika. Kila mtu ana jukumu la kuchangia katika kujenga mwili, na watu binafsi wanategemea Roho kuwawezesha na kuwaongoza katika huduma zao.</w:t>
      </w:r>
    </w:p>
    <w:p>
      <w:pPr/>
      <w:r>
        <w:rPr>
          <w:lang w:val="sw_KE" w:bidi="sw_KE"/>
        </w:rPr>
      </w:r>
      <w:r>
        <w:rPr>
          <w:lang w:val="sw_KE" w:bidi="sw_KE"/>
        </w:rPr>
        <w:t xml:space="preserve">Ufufuo. Miongoni mwa maandiko ya Agano Jipya, barua hii inatoa mjadala wa kina zaidi kuhusu ufufuo (sura </w:t>
      </w:r>
      <w:hyperlink r:id="rId26">
        <w:r>
          <w:rPr>
            <w:lang w:val="sw_KE" w:bidi="sw_KE"/>
          </w:rPr>
          <w:rPr>
            <w:color w:val="0000EE"/>
            <w:u w:val="single"/>
          </w:rPr>
          <w:t>15</w:t>
        </w:r>
      </w:hyperlink>
      <w:r>
        <w:rPr>
          <w:lang w:val="sw_KE" w:bidi="sw_KE"/>
        </w:rPr>
        <w:t>), ikijumuisha maelezo kamili ya wale waliomwona Yesu aliyefufuka, mantiki ya ufufuo wa baadaye, na asili ya miili ya ufufuo.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