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أعلن عاموس للذين عبدوا الأوثان “</w:t>
      </w:r>
      <w:r>
        <w:rPr>
          <w:lang w:val="ar_AE" w:bidi="ar_AE"/>
        </w:rPr>
        <w:t>ٱسْتَعِدَّ لِلِقَاءِ إِلَهِكَ</w:t>
      </w:r>
      <w:r>
        <w:rPr>
          <w:lang w:val="ar_AE" w:bidi="ar_AE"/>
        </w:rPr>
        <w:t>” (</w:t>
      </w:r>
      <w:hyperlink r:id="rId13">
        <w:r>
          <w:rPr>
            <w:lang w:val="ar_AE" w:bidi="ar_AE"/>
          </w:rPr>
          <w:rPr>
            <w:color w:val="0000EE"/>
            <w:u w:val="single"/>
          </w:rPr>
          <w:t>4:12</w:t>
        </w:r>
      </w:hyperlink>
      <w:r>
        <w:rPr>
          <w:lang w:val="ar_AE" w:bidi="ar_AE"/>
        </w:rPr>
        <w:t>). كما حثَّ عاموس الأغنياء الذين ظلموا الفقراء “</w:t>
      </w:r>
      <w:r>
        <w:rPr>
          <w:lang w:val="ar_AE" w:bidi="ar_AE"/>
        </w:rPr>
        <w:t>لْيَجْرِ ٱلْحَقُّ كَٱلْمِيَاهِ، وَٱلْبِرُّ كَنَهْرٍ دَائِمٍ</w:t>
      </w:r>
      <w:r>
        <w:rPr>
          <w:lang w:val="ar_AE" w:bidi="ar_AE"/>
        </w:rPr>
        <w:t>” (</w:t>
      </w:r>
      <w:hyperlink r:id="rId14">
        <w:r>
          <w:rPr>
            <w:lang w:val="ar_AE" w:bidi="ar_AE"/>
          </w:rPr>
          <w:rPr>
            <w:color w:val="0000EE"/>
            <w:u w:val="single"/>
          </w:rPr>
          <w:t>5:24</w:t>
        </w:r>
      </w:hyperlink>
      <w:r>
        <w:rPr>
          <w:lang w:val="ar_AE" w:bidi="ar_AE"/>
        </w:rPr>
        <w:t>). ما الذي دفع هذا الراعي أن يأتي من تَقُوع إلى بيت إيل ليعلن مثل هذه الأحكام القوية؟ لم يكتسب عاموس قوت يومه بصفته نبيًا محترفًا (</w:t>
      </w:r>
      <w:hyperlink r:id="rId15">
        <w:r>
          <w:rPr>
            <w:lang w:val="ar_AE" w:bidi="ar_AE"/>
          </w:rPr>
          <w:rPr>
            <w:color w:val="0000EE"/>
            <w:u w:val="single"/>
          </w:rPr>
          <w:t>7:14</w:t>
        </w:r>
      </w:hyperlink>
      <w:r>
        <w:rPr>
          <w:lang w:val="ar_AE" w:bidi="ar_AE"/>
        </w:rPr>
        <w:t>)؛ لكن دفعته “زمجرة” الله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3:8</w:t>
        </w:r>
      </w:hyperlink>
      <w:r>
        <w:rPr>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lang w:val="ar_AE" w:bidi="ar_AE"/>
        </w:rPr>
        <w:t>أحداث وخلفية السِفر</w:t>
      </w:r>
    </w:p>
    <w:p>
      <w:pPr>
        <w:bidi/>
      </w:pPr>
      <w:r>
        <w:rPr>
          <w:lang w:val="ar_AE" w:bidi="ar_AE"/>
        </w:rPr>
      </w:r>
      <w:r>
        <w:rPr>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lang w:val="ar_AE" w:bidi="ar_AE"/>
        </w:rPr>
        <w:t>.</w:t>
      </w:r>
      <w:r>
        <w:rPr>
          <w:lang w:val="ar_AE" w:bidi="ar_AE"/>
        </w:rPr>
        <w:t xml:space="preserve"> لذا بنى معابد في دان وبيت إيل. استخدم يربعام صُوَرًا للعجول الصغيرة، مستندًا في ذلك إلى سابقة تاريخية (</w:t>
      </w:r>
      <w:hyperlink r:id="rId18">
        <w:r>
          <w:rPr>
            <w:lang w:val="ar_AE" w:bidi="ar_AE"/>
          </w:rPr>
          <w:rPr>
            <w:color w:val="0000EE"/>
            <w:u w:val="single"/>
          </w:rPr>
          <w:t>خروج 32</w:t>
        </w:r>
      </w:hyperlink>
      <w:r>
        <w:rPr>
          <w:lang w:val="ar_AE" w:bidi="ar_AE"/>
        </w:rPr>
        <w:t>)، لتمثيل ٱلرّبّ (</w:t>
      </w:r>
      <w:hyperlink r:id="rId19">
        <w:r>
          <w:rPr>
            <w:lang w:val="ar_AE" w:bidi="ar_AE"/>
          </w:rPr>
          <w:rPr>
            <w:color w:val="0000EE"/>
            <w:u w:val="single"/>
          </w:rPr>
          <w:t>1 ملوك 12:25–33</w:t>
        </w:r>
      </w:hyperlink>
      <w:r>
        <w:rPr>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lang w:val="ar_AE" w:bidi="ar_AE"/>
        </w:rPr>
      </w:r>
      <w:r>
        <w:rPr>
          <w:lang w:val="ar_AE" w:bidi="ar_AE"/>
        </w:rPr>
        <w:t>قلَّلت كل من مذابح العجلَيْن التي أقامها يربعام الأول في دان وبيت إيل (</w:t>
      </w:r>
      <w:hyperlink r:id="rId20">
        <w:r>
          <w:rPr>
            <w:lang w:val="ar_AE" w:bidi="ar_AE"/>
          </w:rPr>
          <w:rPr>
            <w:color w:val="0000EE"/>
            <w:u w:val="single"/>
          </w:rPr>
          <w:t>1 ملوك 12:29</w:t>
        </w:r>
      </w:hyperlink>
      <w:r>
        <w:rPr>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hyperlink r:id="rId21">
        <w:r>
          <w:rPr>
            <w:lang w:val="ar_AE" w:bidi="ar_AE"/>
          </w:rPr>
          <w:rPr>
            <w:color w:val="0000EE"/>
            <w:u w:val="single"/>
          </w:rPr>
          <w:t>1 ملوك 18:21</w:t>
        </w:r>
      </w:hyperlink>
      <w:r>
        <w:rPr>
          <w:lang w:val="ar_AE" w:bidi="ar_AE"/>
        </w:rPr>
        <w:t xml:space="preserve">, </w:t>
      </w:r>
      <w:hyperlink r:id="rId22">
        <w:r>
          <w:rPr>
            <w:lang w:val="ar_AE" w:bidi="ar_AE"/>
          </w:rPr>
          <w:rPr>
            <w:color w:val="0000EE"/>
            <w:u w:val="single"/>
          </w:rPr>
          <w:t>24</w:t>
        </w:r>
      </w:hyperlink>
      <w:r>
        <w:rPr>
          <w:lang w:val="ar_AE" w:bidi="ar_AE"/>
        </w:rPr>
        <w:t>). وقد كانت رسالة عاموس مشابهة.</w:t>
      </w:r>
    </w:p>
    <w:p>
      <w:pPr>
        <w:bidi/>
      </w:pPr>
      <w:r>
        <w:rPr>
          <w:lang w:val="ar_AE" w:bidi="ar_AE"/>
        </w:rPr>
      </w:r>
      <w:r>
        <w:rPr>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hyperlink r:id="rId23">
        <w:r>
          <w:rPr>
            <w:lang w:val="ar_AE" w:bidi="ar_AE"/>
          </w:rPr>
          <w:rPr>
            <w:color w:val="0000EE"/>
            <w:u w:val="single"/>
          </w:rPr>
          <w:t>2 ملوك 14:23–29؛</w:t>
        </w:r>
      </w:hyperlink>
      <w:r>
        <w:rPr>
          <w:lang w:val="ar_AE" w:bidi="ar_AE"/>
        </w:rPr>
        <w:t xml:space="preserve"> </w:t>
      </w:r>
      <w:hyperlink r:id="rId24">
        <w:r>
          <w:rPr>
            <w:lang w:val="ar_AE" w:bidi="ar_AE"/>
          </w:rPr>
          <w:rPr>
            <w:color w:val="0000EE"/>
            <w:u w:val="single"/>
          </w:rPr>
          <w:t>15:1–7؛</w:t>
        </w:r>
      </w:hyperlink>
      <w:r>
        <w:rPr>
          <w:lang w:val="ar_AE" w:bidi="ar_AE"/>
        </w:rPr>
        <w:t xml:space="preserve"> </w:t>
      </w:r>
      <w:hyperlink r:id="rId25">
        <w:r>
          <w:rPr>
            <w:lang w:val="ar_AE" w:bidi="ar_AE"/>
          </w:rPr>
          <w:rPr>
            <w:color w:val="0000EE"/>
            <w:u w:val="single"/>
          </w:rPr>
          <w:t>2 أخبار 26:1–23</w:t>
        </w:r>
      </w:hyperlink>
      <w:r>
        <w:rPr>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lang w:val="ar_AE" w:bidi="ar_AE"/>
        </w:rPr>
      </w:r>
      <w:r>
        <w:rPr>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lang w:val="ar_AE" w:bidi="ar_AE"/>
        </w:rPr>
        <w:t>الخُلاصة</w:t>
      </w:r>
    </w:p>
    <w:p>
      <w:pPr>
        <w:bidi/>
      </w:pPr>
      <w:r>
        <w:rPr>
          <w:lang w:val="ar_AE" w:bidi="ar_AE"/>
        </w:rPr>
      </w:r>
      <w:r>
        <w:rPr>
          <w:lang w:val="ar_AE" w:bidi="ar_AE"/>
        </w:rPr>
        <w:t>واجه عاموس إسرائيل برسالة تفيد بأن العبادة الشفوية ليست كافية في عبادة ٱلرّب. يستهل سفر عاموس بمقدمة قصيرة (</w:t>
      </w:r>
      <w:hyperlink r:id="rId26">
        <w:r>
          <w:rPr>
            <w:lang w:val="ar_AE" w:bidi="ar_AE"/>
          </w:rPr>
          <w:rPr>
            <w:color w:val="0000EE"/>
            <w:u w:val="single"/>
          </w:rPr>
          <w:t>عاموس 1:1–2</w:t>
        </w:r>
      </w:hyperlink>
      <w:r>
        <w:rPr>
          <w:lang w:val="ar_AE" w:bidi="ar_AE"/>
        </w:rPr>
        <w:t>)، ثم يتضمن القسم الأول (</w:t>
      </w:r>
      <w:hyperlink r:id="rId27">
        <w:r>
          <w:rPr>
            <w:lang w:val="ar_AE" w:bidi="ar_AE"/>
          </w:rPr>
          <w:rPr>
            <w:color w:val="0000EE"/>
            <w:u w:val="single"/>
          </w:rPr>
          <w:t>1:3–2:16</w:t>
        </w:r>
      </w:hyperlink>
      <w:r>
        <w:rPr>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lang w:val="ar_AE" w:bidi="ar_AE"/>
        </w:rPr>
      </w:r>
      <w:r>
        <w:rPr>
          <w:lang w:val="ar_AE" w:bidi="ar_AE"/>
        </w:rPr>
        <w:t>لكن بعد ذلك يقول: "شعب إسرائيل أيضًا قد أخطأ"! ويضع الكاتب القسم التالي (</w:t>
      </w:r>
      <w:hyperlink r:id="rId28">
        <w:r>
          <w:rPr>
            <w:lang w:val="ar_AE" w:bidi="ar_AE"/>
          </w:rPr>
          <w:rPr>
            <w:color w:val="0000EE"/>
            <w:u w:val="single"/>
          </w:rPr>
          <w:t>3:1–5:17</w:t>
        </w:r>
      </w:hyperlink>
      <w:r>
        <w:rPr>
          <w:lang w:val="ar_AE" w:bidi="ar_AE"/>
        </w:rPr>
        <w:t>) في إطار ثلاث رسائل نبوية. الرسالة الأولى (</w:t>
      </w:r>
      <w:hyperlink r:id="rId29">
        <w:r>
          <w:rPr>
            <w:lang w:val="ar_AE" w:bidi="ar_AE"/>
          </w:rPr>
          <w:rPr>
            <w:color w:val="0000EE"/>
            <w:u w:val="single"/>
          </w:rPr>
          <w:t>3:1–2</w:t>
        </w:r>
      </w:hyperlink>
      <w:r>
        <w:rPr>
          <w:lang w:val="ar_AE" w:bidi="ar_AE"/>
        </w:rPr>
        <w:t>) تتهم إسرائيل بإساءة استخدام وضعها المميز بصفتها شعبًا مختارًا من قِبَل الله. والثانية (</w:t>
      </w:r>
      <w:hyperlink r:id="rId30">
        <w:r>
          <w:rPr>
            <w:lang w:val="ar_AE" w:bidi="ar_AE"/>
          </w:rPr>
          <w:rPr>
            <w:color w:val="0000EE"/>
            <w:u w:val="single"/>
          </w:rPr>
          <w:t>4:1–3</w:t>
        </w:r>
      </w:hyperlink>
      <w:r>
        <w:rPr>
          <w:lang w:val="ar_AE" w:bidi="ar_AE"/>
        </w:rPr>
        <w:t>) لائحة اتهام ضد الطبقة الحاكمة المُنشغلة باللهو في إسرائيل. والرسالة الثالثة (</w:t>
      </w:r>
      <w:hyperlink r:id="rId31">
        <w:r>
          <w:rPr>
            <w:lang w:val="ar_AE" w:bidi="ar_AE"/>
          </w:rPr>
          <w:rPr>
            <w:color w:val="0000EE"/>
            <w:u w:val="single"/>
          </w:rPr>
          <w:t>5:1–2</w:t>
        </w:r>
      </w:hyperlink>
      <w:r>
        <w:rPr>
          <w:lang w:val="ar_AE" w:bidi="ar_AE"/>
        </w:rPr>
        <w:t>) عبارة عن مَرثاة للموت المتوقع للأمة. وسْط الرسائل النبوية، يتضمن سِفر عاموس أسئلة بلاغية (</w:t>
      </w:r>
      <w:hyperlink r:id="rId32">
        <w:r>
          <w:rPr>
            <w:lang w:val="ar_AE" w:bidi="ar_AE"/>
          </w:rPr>
          <w:rPr>
            <w:color w:val="0000EE"/>
            <w:u w:val="single"/>
          </w:rPr>
          <w:t>3:3–6</w:t>
        </w:r>
      </w:hyperlink>
      <w:r>
        <w:rPr>
          <w:lang w:val="ar_AE" w:bidi="ar_AE"/>
        </w:rPr>
        <w:t>)، واستعارات من حياته كراعي غنم (</w:t>
      </w:r>
      <w:hyperlink r:id="rId17">
        <w:r>
          <w:rPr>
            <w:lang w:val="ar_AE" w:bidi="ar_AE"/>
          </w:rPr>
          <w:rPr>
            <w:color w:val="0000EE"/>
            <w:u w:val="single"/>
          </w:rPr>
          <w:t>3:8،</w:t>
        </w:r>
      </w:hyperlink>
      <w:r>
        <w:rPr>
          <w:lang w:val="ar_AE" w:bidi="ar_AE"/>
        </w:rPr>
        <w:t xml:space="preserve"> </w:t>
      </w:r>
      <w:hyperlink r:id="rId33">
        <w:r>
          <w:rPr>
            <w:lang w:val="ar_AE" w:bidi="ar_AE"/>
          </w:rPr>
          <w:rPr>
            <w:color w:val="0000EE"/>
            <w:u w:val="single"/>
          </w:rPr>
          <w:t>12</w:t>
        </w:r>
      </w:hyperlink>
      <w:r>
        <w:rPr>
          <w:lang w:val="ar_AE" w:bidi="ar_AE"/>
        </w:rPr>
        <w:t>)، كما احتوى السفر على أسلوب السخرية اللاذع (</w:t>
      </w:r>
      <w:hyperlink r:id="rId34">
        <w:r>
          <w:rPr>
            <w:lang w:val="ar_AE" w:bidi="ar_AE"/>
          </w:rPr>
          <w:rPr>
            <w:color w:val="0000EE"/>
            <w:u w:val="single"/>
          </w:rPr>
          <w:t>4:4–5</w:t>
        </w:r>
      </w:hyperlink>
      <w:r>
        <w:rPr>
          <w:lang w:val="ar_AE" w:bidi="ar_AE"/>
        </w:rPr>
        <w:t>)، وسردًا تاريخيًا (</w:t>
      </w:r>
      <w:hyperlink r:id="rId35">
        <w:r>
          <w:rPr>
            <w:lang w:val="ar_AE" w:bidi="ar_AE"/>
          </w:rPr>
          <w:rPr>
            <w:color w:val="0000EE"/>
            <w:u w:val="single"/>
          </w:rPr>
          <w:t>4:6–11</w:t>
        </w:r>
      </w:hyperlink>
      <w:r>
        <w:rPr>
          <w:lang w:val="ar_AE" w:bidi="ar_AE"/>
        </w:rPr>
        <w:t>)، وشذرات من ترانيمٍ (</w:t>
      </w:r>
      <w:hyperlink r:id="rId36">
        <w:r>
          <w:rPr>
            <w:lang w:val="ar_AE" w:bidi="ar_AE"/>
          </w:rPr>
          <w:rPr>
            <w:color w:val="0000EE"/>
            <w:u w:val="single"/>
          </w:rPr>
          <w:t>4:13؛</w:t>
        </w:r>
      </w:hyperlink>
      <w:r>
        <w:rPr>
          <w:lang w:val="ar_AE" w:bidi="ar_AE"/>
        </w:rPr>
        <w:t xml:space="preserve"> </w:t>
      </w:r>
      <w:hyperlink r:id="rId37">
        <w:r>
          <w:rPr>
            <w:lang w:val="ar_AE" w:bidi="ar_AE"/>
          </w:rPr>
          <w:rPr>
            <w:color w:val="0000EE"/>
            <w:u w:val="single"/>
          </w:rPr>
          <w:t>5:8–9</w:t>
        </w:r>
      </w:hyperlink>
      <w:r>
        <w:rPr>
          <w:lang w:val="ar_AE" w:bidi="ar_AE"/>
        </w:rPr>
        <w:t>)، وتلاعب بالألفاظ (تورية) (</w:t>
      </w:r>
      <w:hyperlink r:id="rId38">
        <w:r>
          <w:rPr>
            <w:lang w:val="ar_AE" w:bidi="ar_AE"/>
          </w:rPr>
          <w:rPr>
            <w:color w:val="0000EE"/>
            <w:u w:val="single"/>
          </w:rPr>
          <w:t>5:5</w:t>
        </w:r>
      </w:hyperlink>
      <w:r>
        <w:rPr>
          <w:lang w:val="ar_AE" w:bidi="ar_AE"/>
        </w:rPr>
        <w:t>)، ومناشدات للتوبة ونبوات بالدينونة التي تنتظر غير التائبين.</w:t>
      </w:r>
    </w:p>
    <w:p>
      <w:pPr>
        <w:bidi/>
      </w:pPr>
      <w:r>
        <w:rPr>
          <w:lang w:val="ar_AE" w:bidi="ar_AE"/>
        </w:rPr>
      </w:r>
      <w:r>
        <w:rPr>
          <w:lang w:val="ar_AE" w:bidi="ar_AE"/>
        </w:rPr>
        <w:t>يتضمن القسم الثالث من عاموس (</w:t>
      </w:r>
      <w:hyperlink r:id="rId39">
        <w:r>
          <w:rPr>
            <w:lang w:val="ar_AE" w:bidi="ar_AE"/>
          </w:rPr>
          <w:rPr>
            <w:color w:val="0000EE"/>
            <w:u w:val="single"/>
          </w:rPr>
          <w:t>5:18–6:14</w:t>
        </w:r>
      </w:hyperlink>
      <w:r>
        <w:rPr>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hyperlink r:id="rId40">
        <w:r>
          <w:rPr>
            <w:lang w:val="ar_AE" w:bidi="ar_AE"/>
          </w:rPr>
          <w:rPr>
            <w:color w:val="0000EE"/>
            <w:u w:val="single"/>
          </w:rPr>
          <w:t>5:18–27</w:t>
        </w:r>
      </w:hyperlink>
      <w:r>
        <w:rPr>
          <w:lang w:val="ar_AE" w:bidi="ar_AE"/>
        </w:rPr>
        <w:t>)؛ أما الرسالة الثانية، فترتبط بأولئك المتكلين على ثرواتهم، ومساكنهم المريحة، وتحصيناتهم العسكرية (</w:t>
      </w:r>
      <w:hyperlink r:id="rId41">
        <w:r>
          <w:rPr>
            <w:lang w:val="ar_AE" w:bidi="ar_AE"/>
          </w:rPr>
          <w:rPr>
            <w:color w:val="0000EE"/>
            <w:u w:val="single"/>
          </w:rPr>
          <w:t>6:1–14</w:t>
        </w:r>
      </w:hyperlink>
      <w:r>
        <w:rPr>
          <w:lang w:val="ar_AE" w:bidi="ar_AE"/>
        </w:rPr>
        <w:t>).</w:t>
      </w:r>
    </w:p>
    <w:p>
      <w:pPr>
        <w:bidi/>
      </w:pPr>
      <w:r>
        <w:rPr>
          <w:lang w:val="ar_AE" w:bidi="ar_AE"/>
        </w:rPr>
      </w:r>
      <w:r>
        <w:rPr>
          <w:lang w:val="ar_AE" w:bidi="ar_AE"/>
        </w:rPr>
        <w:t>يحتوي القسم الرابع (</w:t>
      </w:r>
      <w:hyperlink r:id="rId42">
        <w:r>
          <w:rPr>
            <w:lang w:val="ar_AE" w:bidi="ar_AE"/>
          </w:rPr>
          <w:rPr>
            <w:color w:val="0000EE"/>
            <w:u w:val="single"/>
          </w:rPr>
          <w:t>7:1–9:10</w:t>
        </w:r>
      </w:hyperlink>
      <w:r>
        <w:rPr>
          <w:lang w:val="ar_AE" w:bidi="ar_AE"/>
        </w:rPr>
        <w:t>) على خمس نبوات تستند إلى رؤى. يكسب عاموس أولًا مستمعيه مِن خلال عرض رؤيتين عن دينونة كادت أن تقع ولكن الله صرفها (</w:t>
      </w:r>
      <w:hyperlink r:id="rId43">
        <w:r>
          <w:rPr>
            <w:lang w:val="ar_AE" w:bidi="ar_AE"/>
          </w:rPr>
          <w:rPr>
            <w:color w:val="0000EE"/>
            <w:u w:val="single"/>
          </w:rPr>
          <w:t>7:1–6</w:t>
        </w:r>
      </w:hyperlink>
      <w:r>
        <w:rPr>
          <w:lang w:val="ar_AE" w:bidi="ar_AE"/>
        </w:rPr>
        <w:t>)، ثم يواصل برسالتين عن دينونتين حتميتين لا مجال لتفاديهما (</w:t>
      </w:r>
      <w:hyperlink r:id="rId44">
        <w:r>
          <w:rPr>
            <w:lang w:val="ar_AE" w:bidi="ar_AE"/>
          </w:rPr>
          <w:rPr>
            <w:color w:val="0000EE"/>
            <w:u w:val="single"/>
          </w:rPr>
          <w:t>7:7–9؛</w:t>
        </w:r>
      </w:hyperlink>
      <w:r>
        <w:rPr>
          <w:lang w:val="ar_AE" w:bidi="ar_AE"/>
        </w:rPr>
        <w:t xml:space="preserve"> </w:t>
      </w:r>
      <w:hyperlink r:id="rId45">
        <w:r>
          <w:rPr>
            <w:lang w:val="ar_AE" w:bidi="ar_AE"/>
          </w:rPr>
          <w:rPr>
            <w:color w:val="0000EE"/>
            <w:u w:val="single"/>
          </w:rPr>
          <w:t>8:1–3</w:t>
        </w:r>
      </w:hyperlink>
      <w:r>
        <w:rPr>
          <w:lang w:val="ar_AE" w:bidi="ar_AE"/>
        </w:rPr>
        <w:t>). تتخلل هذه الرؤى لمحة سيرة ذاتية قصيرة (</w:t>
      </w:r>
      <w:hyperlink r:id="rId46">
        <w:r>
          <w:rPr>
            <w:lang w:val="ar_AE" w:bidi="ar_AE"/>
          </w:rPr>
          <w:rPr>
            <w:color w:val="0000EE"/>
            <w:u w:val="single"/>
          </w:rPr>
          <w:t>7:10–17</w:t>
        </w:r>
      </w:hyperlink>
      <w:r>
        <w:rPr>
          <w:lang w:val="ar_AE" w:bidi="ar_AE"/>
        </w:rPr>
        <w:t>). أما الرؤية الأخيرة، فهي إعلان عن الخراب التام لإسرائيل ونظامها الديني (</w:t>
      </w:r>
      <w:hyperlink r:id="rId47">
        <w:r>
          <w:rPr>
            <w:lang w:val="ar_AE" w:bidi="ar_AE"/>
          </w:rPr>
          <w:rPr>
            <w:color w:val="0000EE"/>
            <w:u w:val="single"/>
          </w:rPr>
          <w:t>9:1–10</w:t>
        </w:r>
      </w:hyperlink>
      <w:r>
        <w:rPr>
          <w:lang w:val="ar_AE" w:bidi="ar_AE"/>
        </w:rPr>
        <w:t>).</w:t>
      </w:r>
    </w:p>
    <w:p>
      <w:pPr>
        <w:bidi/>
      </w:pPr>
      <w:r>
        <w:rPr>
          <w:lang w:val="ar_AE" w:bidi="ar_AE"/>
        </w:rPr>
      </w:r>
      <w:r>
        <w:rPr>
          <w:lang w:val="ar_AE" w:bidi="ar_AE"/>
        </w:rPr>
        <w:t xml:space="preserve">أخيرًا، في </w:t>
      </w:r>
      <w:hyperlink r:id="rId48">
        <w:r>
          <w:rPr>
            <w:lang w:val="ar_AE" w:bidi="ar_AE"/>
          </w:rPr>
          <w:rPr>
            <w:color w:val="0000EE"/>
            <w:u w:val="single"/>
          </w:rPr>
          <w:t>9:11–15</w:t>
        </w:r>
      </w:hyperlink>
      <w:r>
        <w:rPr>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lang w:val="ar_AE" w:bidi="ar_AE"/>
        </w:rPr>
        <w:t>التاريخ والموقع الجغرافي</w:t>
      </w:r>
    </w:p>
    <w:p>
      <w:pPr>
        <w:bidi/>
      </w:pPr>
      <w:r>
        <w:rPr>
          <w:lang w:val="ar_AE" w:bidi="ar_AE"/>
        </w:rPr>
      </w:r>
      <w:r>
        <w:rPr>
          <w:lang w:val="ar_AE" w:bidi="ar_AE"/>
        </w:rPr>
        <w:t>كانت خدمة عاموس قصيرة، ربما لم تتجاوز سنة واحدة فقط. كان موقعها عند المذبح الملكيّ في بيت إيل في المملكة الشِّمالية (</w:t>
      </w:r>
      <w:hyperlink r:id="rId49">
        <w:r>
          <w:rPr>
            <w:lang w:val="ar_AE" w:bidi="ar_AE"/>
          </w:rPr>
          <w:rPr>
            <w:color w:val="0000EE"/>
            <w:u w:val="single"/>
          </w:rPr>
          <w:t>7:13</w:t>
        </w:r>
      </w:hyperlink>
      <w:r>
        <w:rPr>
          <w:lang w:val="ar_AE" w:bidi="ar_AE"/>
        </w:rPr>
        <w:t>)، قبل وفاة يربعام الثاني بزمن قصير في عام 753 قبل الميلاد (</w:t>
      </w:r>
      <w:hyperlink r:id="rId50">
        <w:r>
          <w:rPr>
            <w:lang w:val="ar_AE" w:bidi="ar_AE"/>
          </w:rPr>
          <w:rPr>
            <w:color w:val="0000EE"/>
            <w:u w:val="single"/>
          </w:rPr>
          <w:t>1:1</w:t>
        </w:r>
      </w:hyperlink>
      <w:r>
        <w:rPr>
          <w:lang w:val="ar_AE" w:bidi="ar_AE"/>
        </w:rPr>
        <w:t>).</w:t>
      </w:r>
    </w:p>
    <w:p>
      <w:pPr>
        <w:pStyle w:val="Heading2"/>
        <w:bidi/>
      </w:pPr>
      <w:r>
        <w:rPr>
          <w:lang w:val="ar_AE" w:bidi="ar_AE"/>
        </w:rPr>
        <w:t>القُرّاء الأصليون</w:t>
      </w:r>
    </w:p>
    <w:p>
      <w:pPr>
        <w:bidi/>
      </w:pPr>
      <w:r>
        <w:rPr>
          <w:lang w:val="ar_AE" w:bidi="ar_AE"/>
        </w:rPr>
      </w:r>
      <w:r>
        <w:rPr>
          <w:lang w:val="ar_AE" w:bidi="ar_AE"/>
        </w:rPr>
        <w:t xml:space="preserve">وجَّه عاموس رسالته إلى جميع شعب إسرائيل، خاصةً إلى الأغنياء والأقوياء والمُترفين (انظر بصفة خاصة </w:t>
      </w:r>
      <w:hyperlink r:id="rId51">
        <w:r>
          <w:rPr>
            <w:lang w:val="ar_AE" w:bidi="ar_AE"/>
          </w:rPr>
          <w:rPr>
            <w:color w:val="0000EE"/>
            <w:u w:val="single"/>
          </w:rPr>
          <w:t>5:18–6:8</w:t>
        </w:r>
      </w:hyperlink>
      <w:r>
        <w:rPr>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hyperlink r:id="rId52">
        <w:r>
          <w:rPr>
            <w:lang w:val="ar_AE" w:bidi="ar_AE"/>
          </w:rPr>
          <w:rPr>
            <w:color w:val="0000EE"/>
            <w:u w:val="single"/>
          </w:rPr>
          <w:t>2:4–5</w:t>
        </w:r>
      </w:hyperlink>
      <w:r>
        <w:rPr>
          <w:lang w:val="ar_AE" w:bidi="ar_AE"/>
        </w:rPr>
        <w:t>). لذا، يتضمن السِفر إدانة لأولئك "ا</w:t>
      </w:r>
      <w:r>
        <w:rPr>
          <w:lang w:val="ar_AE" w:bidi="ar_AE"/>
        </w:rPr>
        <w:t>لْمُسْتَرِيحِينَ فِي صِهْيَوْنَ [</w:t>
      </w:r>
      <w:r>
        <w:rPr>
          <w:lang w:val="ar_AE" w:bidi="ar_AE"/>
        </w:rPr>
        <w:t xml:space="preserve">الذين يسترخون في الرَفَاهيَة في أورشليم]" وكذلك اتهام للْمُطْمَئِنِّين فِي جَبَلِ ٱلسَّامِرَةِ (انظر </w:t>
      </w:r>
      <w:hyperlink r:id="rId53">
        <w:r>
          <w:rPr>
            <w:lang w:val="ar_AE" w:bidi="ar_AE"/>
          </w:rPr>
          <w:rPr>
            <w:color w:val="0000EE"/>
            <w:u w:val="single"/>
          </w:rPr>
          <w:t>6:1</w:t>
        </w:r>
      </w:hyperlink>
      <w:r>
        <w:rPr>
          <w:lang w:val="ar_AE" w:bidi="ar_AE"/>
        </w:rPr>
        <w:t>).</w:t>
      </w:r>
    </w:p>
    <w:p>
      <w:pPr>
        <w:pStyle w:val="Heading2"/>
        <w:bidi/>
      </w:pPr>
      <w:r>
        <w:rPr>
          <w:lang w:val="ar_AE" w:bidi="ar_AE"/>
        </w:rPr>
        <w:t>النبي عاموس</w:t>
      </w:r>
    </w:p>
    <w:p>
      <w:pPr>
        <w:bidi/>
      </w:pPr>
      <w:r>
        <w:rPr>
          <w:lang w:val="ar_AE" w:bidi="ar_AE"/>
        </w:rPr>
      </w:r>
      <w:r>
        <w:rPr>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lang w:val="ar_AE" w:bidi="ar_AE"/>
        </w:rPr>
      </w:r>
      <w:r>
        <w:rPr>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hyperlink r:id="rId54">
        <w:r>
          <w:rPr>
            <w:lang w:val="ar_AE" w:bidi="ar_AE"/>
          </w:rPr>
          <w:rPr>
            <w:color w:val="0000EE"/>
            <w:u w:val="single"/>
          </w:rPr>
          <w:t>مز 23:1</w:t>
        </w:r>
      </w:hyperlink>
      <w:r>
        <w:rPr>
          <w:lang w:val="ar_AE" w:bidi="ar_AE"/>
        </w:rPr>
        <w:t xml:space="preserve">)، لكن عاموس يُوصَف في 1:1 بـ "نوكيد (נוֹקֵד)"، وهي كلمة تظهر مرة أخرى فقط في </w:t>
      </w:r>
      <w:hyperlink r:id="rId55">
        <w:r>
          <w:rPr>
            <w:lang w:val="ar_AE" w:bidi="ar_AE"/>
          </w:rPr>
          <w:rPr>
            <w:color w:val="0000EE"/>
            <w:u w:val="single"/>
          </w:rPr>
          <w:t>2 ملوك 3:4</w:t>
        </w:r>
      </w:hyperlink>
      <w:r>
        <w:rPr>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hyperlink r:id="rId15">
        <w:r>
          <w:rPr>
            <w:lang w:val="ar_AE" w:bidi="ar_AE"/>
          </w:rPr>
          <w:rPr>
            <w:color w:val="0000EE"/>
            <w:u w:val="single"/>
          </w:rPr>
          <w:t xml:space="preserve">7:14، </w:t>
        </w:r>
      </w:hyperlink>
      <w:r>
        <w:rPr>
          <w:lang w:val="ar_AE" w:bidi="ar_AE"/>
        </w:rPr>
        <w:t>يستخدم عاموس كلمة "بوكير"، ما قد يشير إلى امتلاكه للبقر، وهو أمر لم يكن شائعًا إلا بين الأغنياء. كما يشير إلى كونه "بولِس" لشجر الجميز (</w:t>
      </w:r>
      <w:hyperlink r:id="rId15">
        <w:r>
          <w:rPr>
            <w:lang w:val="ar_AE" w:bidi="ar_AE"/>
          </w:rPr>
          <w:rPr>
            <w:color w:val="0000EE"/>
            <w:u w:val="single"/>
          </w:rPr>
          <w:t>7:14</w:t>
        </w:r>
      </w:hyperlink>
      <w:r>
        <w:rPr>
          <w:lang w:val="ar_AE" w:bidi="ar_AE"/>
        </w:rPr>
        <w:t>)، وهي كلمة نادرة، ولكن في هذا السياق، من المرجح أنها تعني مزارعًا يمتلك الأرض، لا عاملاً بسيطًا فيها.</w:t>
      </w:r>
    </w:p>
    <w:p>
      <w:pPr>
        <w:bidi/>
      </w:pPr>
      <w:r>
        <w:rPr>
          <w:lang w:val="ar_AE" w:bidi="ar_AE"/>
        </w:rPr>
      </w:r>
      <w:r>
        <w:rPr>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lang w:val="ar_AE" w:bidi="ar_AE"/>
        </w:rPr>
        <w:t>المعنى والرسالة</w:t>
      </w:r>
    </w:p>
    <w:p>
      <w:pPr>
        <w:bidi/>
      </w:pPr>
      <w:r>
        <w:rPr>
          <w:lang w:val="ar_AE" w:bidi="ar_AE"/>
        </w:rPr>
      </w:r>
      <w:r>
        <w:rPr>
          <w:lang w:val="ar_AE" w:bidi="ar_AE"/>
        </w:rPr>
        <w:t xml:space="preserve">صوّر موسى الله على أنه إله عادل يهتم بالضعفاء والمحتاجين (انظر، على سبيل المثال، </w:t>
      </w:r>
      <w:hyperlink r:id="rId56">
        <w:r>
          <w:rPr>
            <w:lang w:val="ar_AE" w:bidi="ar_AE"/>
          </w:rPr>
          <w:rPr>
            <w:color w:val="0000EE"/>
            <w:u w:val="single"/>
          </w:rPr>
          <w:t>تثنية 24:10–22</w:t>
        </w:r>
      </w:hyperlink>
      <w:r>
        <w:rPr>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lang w:val="ar_AE" w:bidi="ar_AE"/>
        </w:rPr>
      </w:r>
      <w:r>
        <w:rPr>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hyperlink r:id="rId57">
        <w:r>
          <w:rPr>
            <w:lang w:val="ar_AE" w:bidi="ar_AE"/>
          </w:rPr>
          <w:rPr>
            <w:color w:val="0000EE"/>
            <w:u w:val="single"/>
          </w:rPr>
          <w:t>تكوين 1:26–27</w:t>
        </w:r>
      </w:hyperlink>
      <w:r>
        <w:rPr>
          <w:lang w:val="ar_AE" w:bidi="ar_AE"/>
        </w:rPr>
        <w:t>). فخدمة الله تُترجم إلى خدمة خليقته..</w:t>
      </w:r>
    </w:p>
    <w:p>
      <w:pPr>
        <w:bidi/>
      </w:pPr>
      <w:r>
        <w:rPr>
          <w:lang w:val="ar_AE" w:bidi="ar_AE"/>
        </w:rPr>
      </w:r>
      <w:r>
        <w:rPr>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