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lang w:val="pt_PT" w:bidi="pt_PT"/>
        </w:rPr>
        <w:t>sim!</w:t>
      </w:r>
      <w:r>
        <w:rPr>
          <w:lang w:val="pt_PT" w:bidi="pt_PT"/>
        </w:rP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2"/>
      </w:pPr>
      <w:r>
        <w:rPr>
          <w:lang w:val="pt_PT" w:bidi="pt_PT"/>
        </w:rPr>
        <w:t>Cenário</w:t>
      </w:r>
    </w:p>
    <w:p>
      <w:pPr/>
      <w:r>
        <w:rPr>
          <w:lang w:val="pt_PT" w:bidi="pt_PT"/>
        </w:rPr>
      </w:r>
      <w:r>
        <w:rPr>
          <w:lang w:val="pt_PT" w:bidi="pt_PT"/>
        </w:rP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pPr/>
      <w:r>
        <w:rPr>
          <w:lang w:val="pt_PT" w:bidi="pt_PT"/>
        </w:rPr>
      </w:r>
      <w:r>
        <w:rPr>
          <w:lang w:val="pt_PT" w:bidi="pt_PT"/>
        </w:rPr>
        <w:t>Enquanto o rei de Judá, Uzias, ainda estava vivo, Judá foi capaz de ignorar a crise. No geral, Uzias era um rei bom e eficaz, que tinha um exército forte (</w:t>
      </w:r>
      <w:hyperlink r:id="rId13">
        <w:r>
          <w:rPr>
            <w:lang w:val="pt_PT" w:bidi="pt_PT"/>
          </w:rPr>
          <w:rPr>
            <w:color w:val="0000EE"/>
            <w:u w:val="single"/>
          </w:rPr>
          <w:t>2Cr 26.11–15</w:t>
        </w:r>
      </w:hyperlink>
      <w:r>
        <w:rPr>
          <w:lang w:val="pt_PT" w:bidi="pt_PT"/>
        </w:rP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hyperlink r:id="rId14">
        <w:r>
          <w:rPr>
            <w:lang w:val="pt_PT" w:bidi="pt_PT"/>
          </w:rPr>
          <w:rPr>
            <w:color w:val="0000EE"/>
            <w:u w:val="single"/>
          </w:rPr>
          <w:t>Is 6</w:t>
        </w:r>
      </w:hyperlink>
      <w:r>
        <w:rPr>
          <w:lang w:val="pt_PT" w:bidi="pt_PT"/>
        </w:rPr>
        <w:t>).</w:t>
      </w:r>
    </w:p>
    <w:p>
      <w:pPr/>
      <w:r>
        <w:rPr>
          <w:lang w:val="pt_PT" w:bidi="pt_PT"/>
        </w:rPr>
      </w:r>
      <w:r>
        <w:rPr>
          <w:lang w:val="pt_PT" w:bidi="pt_PT"/>
        </w:rP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pPr/>
      <w:r>
        <w:rPr>
          <w:lang w:val="pt_PT" w:bidi="pt_PT"/>
        </w:rPr>
      </w:r>
      <w:r>
        <w:rPr>
          <w:lang w:val="pt_PT" w:bidi="pt_PT"/>
        </w:rP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hyperlink r:id="rId15">
        <w:r>
          <w:rPr>
            <w:lang w:val="pt_PT" w:bidi="pt_PT"/>
          </w:rPr>
          <w:rPr>
            <w:color w:val="0000EE"/>
            <w:u w:val="single"/>
          </w:rPr>
          <w:t>2Cr 28.16–21</w:t>
        </w:r>
      </w:hyperlink>
      <w:r>
        <w:rPr>
          <w:lang w:val="pt_PT" w:bidi="pt_PT"/>
        </w:rPr>
        <w:t>) em vez de confiar em Deus (</w:t>
      </w:r>
      <w:hyperlink r:id="rId16">
        <w:r>
          <w:rPr>
            <w:lang w:val="pt_PT" w:bidi="pt_PT"/>
          </w:rPr>
          <w:rPr>
            <w:color w:val="0000EE"/>
            <w:u w:val="single"/>
          </w:rPr>
          <w:t>Is 7.1–12</w:t>
        </w:r>
      </w:hyperlink>
      <w:r>
        <w:rPr>
          <w:lang w:val="pt_PT" w:bidi="pt_PT"/>
        </w:rPr>
        <w:t>). Embora o rei da Assíria tenha derrotado a Síria e Israel, ele também subjugou Judá e colocou sobre este um pesado fardo de impostos. Apenas alguns anos depois (722 a.C.), Assíria derrotou o reino de Israel novamente e enviou a maioria de seu povo para o exílio (</w:t>
      </w:r>
      <w:hyperlink r:id="rId17">
        <w:r>
          <w:rPr>
            <w:lang w:val="pt_PT" w:bidi="pt_PT"/>
          </w:rPr>
          <w:rPr>
            <w:color w:val="0000EE"/>
            <w:u w:val="single"/>
          </w:rPr>
          <w:t>2Rs 17.5–18</w:t>
        </w:r>
      </w:hyperlink>
      <w:r>
        <w:rPr>
          <w:lang w:val="pt_PT" w:bidi="pt_PT"/>
        </w:rPr>
        <w:t>).</w:t>
      </w:r>
    </w:p>
    <w:p>
      <w:pPr/>
      <w:r>
        <w:rPr>
          <w:lang w:val="pt_PT" w:bidi="pt_PT"/>
        </w:rPr>
      </w:r>
      <w:r>
        <w:rPr>
          <w:lang w:val="pt_PT" w:bidi="pt_PT"/>
        </w:rPr>
        <w:t>Em 701 a.C., durante o reinado do rei Ezequias, a Assíria invadiu novamente Judá. Desta vez, Judá confiou na fidelidade de Deus, e como prometido, Deus resgatou a nação do exército Assírio (</w:t>
      </w:r>
      <w:hyperlink r:id="rId18">
        <w:r>
          <w:rPr>
            <w:lang w:val="pt_PT" w:bidi="pt_PT"/>
          </w:rPr>
          <w:rPr>
            <w:color w:val="0000EE"/>
            <w:u w:val="single"/>
          </w:rPr>
          <w:t>37.21–36</w:t>
        </w:r>
      </w:hyperlink>
      <w:r>
        <w:rPr>
          <w:lang w:val="pt_PT" w:bidi="pt_PT"/>
        </w:rPr>
        <w:t>).</w:t>
      </w:r>
    </w:p>
    <w:p>
      <w:pPr/>
      <w:r>
        <w:rPr>
          <w:lang w:val="pt_PT" w:bidi="pt_PT"/>
        </w:rPr>
      </w:r>
      <w:r>
        <w:rPr>
          <w:lang w:val="pt_PT" w:bidi="pt_PT"/>
        </w:rP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pPr/>
      <w:r>
        <w:rPr>
          <w:lang w:val="pt_PT" w:bidi="pt_PT"/>
        </w:rPr>
      </w:r>
      <w:r>
        <w:rPr>
          <w:lang w:val="pt_PT" w:bidi="pt_PT"/>
        </w:rPr>
        <w:t xml:space="preserve">Ao retornar do exílio (538 a.C.; veja </w:t>
      </w:r>
      <w:hyperlink r:id="rId19">
        <w:r>
          <w:rPr>
            <w:lang w:val="pt_PT" w:bidi="pt_PT"/>
          </w:rPr>
          <w:rPr>
            <w:color w:val="0000EE"/>
            <w:u w:val="single"/>
          </w:rPr>
          <w:t>Esdras 1.1–4</w:t>
        </w:r>
      </w:hyperlink>
      <w:r>
        <w:rPr>
          <w:lang w:val="pt_PT" w:bidi="pt_PT"/>
        </w:rP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2"/>
      </w:pPr>
      <w:r>
        <w:rPr>
          <w:lang w:val="pt_PT" w:bidi="pt_PT"/>
        </w:rPr>
        <w:t>Resumo</w:t>
      </w:r>
    </w:p>
    <w:p>
      <w:pPr/>
      <w:r>
        <w:rPr>
          <w:lang w:val="pt_PT" w:bidi="pt_PT"/>
        </w:rPr>
      </w:r>
      <w:hyperlink r:id="rId20">
        <w:r>
          <w:rPr>
            <w:lang w:val="pt_PT" w:bidi="pt_PT"/>
          </w:rPr>
          <w:rPr>
            <w:color w:val="0000EE"/>
            <w:u w:val="single"/>
          </w:rPr>
          <w:t>Isaías 1–39</w:t>
        </w:r>
      </w:hyperlink>
      <w:r>
        <w:rPr>
          <w:lang w:val="pt_PT" w:bidi="pt_PT"/>
        </w:rPr>
        <w:t xml:space="preserve"> cobre o período que vai desde a morte de Uzias (740 a.C.) até 701 a.C. A introdução (</w:t>
      </w:r>
      <w:hyperlink r:id="rId21">
        <w:r>
          <w:rPr>
            <w:lang w:val="pt_PT" w:bidi="pt_PT"/>
          </w:rPr>
          <w:rPr>
            <w:color w:val="0000EE"/>
            <w:u w:val="single"/>
          </w:rPr>
          <w:t>caps. 1–5</w:t>
        </w:r>
      </w:hyperlink>
      <w:r>
        <w:rPr>
          <w:lang w:val="pt_PT" w:bidi="pt_PT"/>
        </w:rP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hyperlink r:id="rId14">
        <w:r>
          <w:rPr>
            <w:lang w:val="pt_PT" w:bidi="pt_PT"/>
          </w:rPr>
          <w:rPr>
            <w:color w:val="0000EE"/>
            <w:u w:val="single"/>
          </w:rPr>
          <w:t>capítulo 6</w:t>
        </w:r>
      </w:hyperlink>
      <w:r>
        <w:rPr>
          <w:lang w:val="pt_PT" w:bidi="pt_PT"/>
        </w:rP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hyperlink r:id="rId22">
        <w:r>
          <w:rPr>
            <w:lang w:val="pt_PT" w:bidi="pt_PT"/>
          </w:rPr>
          <w:rPr>
            <w:color w:val="0000EE"/>
            <w:u w:val="single"/>
          </w:rPr>
          <w:t>capítulos 13–35</w:t>
        </w:r>
      </w:hyperlink>
      <w:r>
        <w:rPr>
          <w:lang w:val="pt_PT" w:bidi="pt_PT"/>
        </w:rP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hyperlink r:id="rId23">
        <w:r>
          <w:rPr>
            <w:lang w:val="pt_PT" w:bidi="pt_PT"/>
          </w:rPr>
          <w:rPr>
            <w:color w:val="0000EE"/>
            <w:u w:val="single"/>
          </w:rPr>
          <w:t>capítulos 7–12</w:t>
        </w:r>
      </w:hyperlink>
      <w:r>
        <w:rPr>
          <w:lang w:val="pt_PT" w:bidi="pt_PT"/>
        </w:rPr>
        <w:t xml:space="preserve">, e a do rei Ezequias nos </w:t>
      </w:r>
      <w:hyperlink r:id="rId24">
        <w:r>
          <w:rPr>
            <w:lang w:val="pt_PT" w:bidi="pt_PT"/>
          </w:rPr>
          <w:rPr>
            <w:color w:val="0000EE"/>
            <w:u w:val="single"/>
          </w:rPr>
          <w:t>capítulos 36–39</w:t>
        </w:r>
      </w:hyperlink>
      <w:r>
        <w:rPr>
          <w:lang w:val="pt_PT" w:bidi="pt_PT"/>
        </w:rPr>
        <w:t>. Quando Acaz falhou em confiar em Deus, o resultado foi um desastre. Em contraste, seu filho Ezequias confiou em Deus, e um grande resgate ocorreu. Ezequias, no entanto, também teve tempos de fraqueza (</w:t>
      </w:r>
      <w:hyperlink r:id="rId25">
        <w:r>
          <w:rPr>
            <w:lang w:val="pt_PT" w:bidi="pt_PT"/>
          </w:rPr>
          <w:rPr>
            <w:color w:val="0000EE"/>
            <w:u w:val="single"/>
          </w:rPr>
          <w:t>capítulo 39</w:t>
        </w:r>
      </w:hyperlink>
      <w:r>
        <w:rPr>
          <w:lang w:val="pt_PT" w:bidi="pt_PT"/>
        </w:rPr>
        <w:t>), Estabelecendo o contexto para a derrota e o exílio posterior de Judá pela Babilônia.</w:t>
      </w:r>
    </w:p>
    <w:p>
      <w:pPr/>
      <w:r>
        <w:rPr>
          <w:lang w:val="pt_PT" w:bidi="pt_PT"/>
        </w:rPr>
      </w:r>
      <w:hyperlink r:id="rId26">
        <w:r>
          <w:rPr>
            <w:lang w:val="pt_PT" w:bidi="pt_PT"/>
          </w:rPr>
          <w:rPr>
            <w:color w:val="0000EE"/>
            <w:u w:val="single"/>
          </w:rPr>
          <w:t>Isaías 40–55</w:t>
        </w:r>
      </w:hyperlink>
      <w:r>
        <w:rPr>
          <w:lang w:val="pt_PT" w:bidi="pt_PT"/>
        </w:rP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hyperlink r:id="rId27">
        <w:r>
          <w:rPr>
            <w:lang w:val="pt_PT" w:bidi="pt_PT"/>
          </w:rPr>
          <w:rPr>
            <w:color w:val="0000EE"/>
            <w:u w:val="single"/>
          </w:rPr>
          <w:t>capítulos 40–48</w:t>
        </w:r>
      </w:hyperlink>
      <w:r>
        <w:rPr>
          <w:lang w:val="pt_PT" w:bidi="pt_PT"/>
        </w:rPr>
        <w:t xml:space="preserve">, Isaías mostra que Deus é infinitamente superior a qualquer ídolo, e seu povo será a prova disso quando Deus os resgatar finalmente das mãos impotentes da Babilônia. Nos </w:t>
      </w:r>
      <w:hyperlink r:id="rId28">
        <w:r>
          <w:rPr>
            <w:lang w:val="pt_PT" w:bidi="pt_PT"/>
          </w:rPr>
          <w:rPr>
            <w:color w:val="0000EE"/>
            <w:u w:val="single"/>
          </w:rPr>
          <w:t>capítulos 49–55</w:t>
        </w:r>
      </w:hyperlink>
      <w:r>
        <w:rPr>
          <w:lang w:val="pt_PT" w:bidi="pt_PT"/>
        </w:rPr>
        <w:t>, o profeta aborda a pergunta mais profunda do pecado de Judá. Assim como Deus resgatou Judá da Babilônia, ele também tem a intenção de resgatar do poder escravizador do pecado um remanescente do povo; ele realizará isso através da morte do seu servo.</w:t>
      </w:r>
    </w:p>
    <w:p>
      <w:pPr/>
      <w:r>
        <w:rPr>
          <w:lang w:val="pt_PT" w:bidi="pt_PT"/>
        </w:rPr>
      </w:r>
      <w:hyperlink r:id="rId29">
        <w:r>
          <w:rPr>
            <w:lang w:val="pt_PT" w:bidi="pt_PT"/>
          </w:rPr>
          <w:rPr>
            <w:color w:val="0000EE"/>
            <w:u w:val="single"/>
          </w:rPr>
          <w:t>Isaías 56–66</w:t>
        </w:r>
      </w:hyperlink>
      <w:r>
        <w:rPr>
          <w:lang w:val="pt_PT" w:bidi="pt_PT"/>
        </w:rP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2"/>
      </w:pPr>
      <w:r>
        <w:rPr>
          <w:lang w:val="pt_PT" w:bidi="pt_PT"/>
        </w:rPr>
        <w:t>Autoria</w:t>
      </w:r>
    </w:p>
    <w:p>
      <w:pPr/>
      <w:r>
        <w:rPr>
          <w:lang w:val="pt_PT" w:bidi="pt_PT"/>
        </w:rPr>
      </w:r>
      <w:r>
        <w:rPr>
          <w:lang w:val="pt_PT" w:bidi="pt_PT"/>
        </w:rP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hyperlink r:id="rId30">
        <w:r>
          <w:rPr>
            <w:lang w:val="pt_PT" w:bidi="pt_PT"/>
          </w:rPr>
          <w:rPr>
            <w:color w:val="0000EE"/>
            <w:u w:val="single"/>
          </w:rPr>
          <w:t>Mt 8.17</w:t>
        </w:r>
      </w:hyperlink>
      <w:r>
        <w:rPr>
          <w:lang w:val="pt_PT" w:bidi="pt_PT"/>
        </w:rPr>
        <w:t xml:space="preserve">; </w:t>
      </w:r>
      <w:hyperlink r:id="rId31">
        <w:r>
          <w:rPr>
            <w:lang w:val="pt_PT" w:bidi="pt_PT"/>
          </w:rPr>
          <w:rPr>
            <w:color w:val="0000EE"/>
            <w:u w:val="single"/>
          </w:rPr>
          <w:t>12.17–21</w:t>
        </w:r>
      </w:hyperlink>
      <w:r>
        <w:rPr>
          <w:lang w:val="pt_PT" w:bidi="pt_PT"/>
        </w:rPr>
        <w:t xml:space="preserve">; </w:t>
      </w:r>
      <w:hyperlink r:id="rId32">
        <w:r>
          <w:rPr>
            <w:lang w:val="pt_PT" w:bidi="pt_PT"/>
          </w:rPr>
          <w:rPr>
            <w:color w:val="0000EE"/>
            <w:u w:val="single"/>
          </w:rPr>
          <w:t>Lucas 3.4–6</w:t>
        </w:r>
      </w:hyperlink>
      <w:r>
        <w:rPr>
          <w:lang w:val="pt_PT" w:bidi="pt_PT"/>
        </w:rPr>
        <w:t xml:space="preserve">; </w:t>
      </w:r>
      <w:hyperlink r:id="rId33">
        <w:r>
          <w:rPr>
            <w:lang w:val="pt_PT" w:bidi="pt_PT"/>
          </w:rPr>
          <w:rPr>
            <w:color w:val="0000EE"/>
            <w:u w:val="single"/>
          </w:rPr>
          <w:t>Atos 8.28–35</w:t>
        </w:r>
      </w:hyperlink>
      <w:r>
        <w:rPr>
          <w:lang w:val="pt_PT" w:bidi="pt_PT"/>
        </w:rPr>
        <w:t xml:space="preserve">; </w:t>
      </w:r>
      <w:hyperlink r:id="rId34">
        <w:r>
          <w:rPr>
            <w:lang w:val="pt_PT" w:bidi="pt_PT"/>
          </w:rPr>
          <w:rPr>
            <w:color w:val="0000EE"/>
            <w:u w:val="single"/>
          </w:rPr>
          <w:t>Rm 10.16</w:t>
        </w:r>
      </w:hyperlink>
      <w:r>
        <w:rPr>
          <w:lang w:val="pt_PT" w:bidi="pt_PT"/>
        </w:rPr>
        <w:t>).</w:t>
      </w:r>
    </w:p>
    <w:p>
      <w:pPr>
        <w:pStyle w:val="Heading2"/>
      </w:pPr>
      <w:r>
        <w:rPr>
          <w:lang w:val="pt_PT" w:bidi="pt_PT"/>
        </w:rPr>
        <w:t>Data de escrita</w:t>
      </w:r>
    </w:p>
    <w:p>
      <w:pPr/>
      <w:r>
        <w:rPr>
          <w:lang w:val="pt_PT" w:bidi="pt_PT"/>
        </w:rPr>
      </w:r>
      <w:r>
        <w:rPr>
          <w:lang w:val="pt_PT" w:bidi="pt_PT"/>
        </w:rPr>
        <w:t xml:space="preserve">Parece provável pelas referências históricas nos </w:t>
      </w:r>
      <w:hyperlink r:id="rId35">
        <w:r>
          <w:rPr>
            <w:lang w:val="pt_PT" w:bidi="pt_PT"/>
          </w:rPr>
          <w:rPr>
            <w:color w:val="0000EE"/>
            <w:u w:val="single"/>
          </w:rPr>
          <w:t>capítulos 6–39</w:t>
        </w:r>
      </w:hyperlink>
      <w:r>
        <w:rPr>
          <w:lang w:val="pt_PT" w:bidi="pt_PT"/>
        </w:rPr>
        <w:t xml:space="preserve"> que esses materiais foram registrados em vários momentos ao longo de trinta e oito anos entre a morte de Uzias em 740 a.C. e a retirada de Senaqueribe de Jerusalém em 701 a.C. Por causa do estilo lírico mais simples, meditativo e reflexivo dos </w:t>
      </w:r>
      <w:hyperlink r:id="rId36">
        <w:r>
          <w:rPr>
            <w:lang w:val="pt_PT" w:bidi="pt_PT"/>
          </w:rPr>
          <w:rPr>
            <w:color w:val="0000EE"/>
            <w:u w:val="single"/>
          </w:rPr>
          <w:t>capítulos 40–66</w:t>
        </w:r>
      </w:hyperlink>
      <w:r>
        <w:rPr>
          <w:lang w:val="pt_PT" w:bidi="pt_PT"/>
        </w:rP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hyperlink r:id="rId20">
        <w:r>
          <w:rPr>
            <w:lang w:val="pt_PT" w:bidi="pt_PT"/>
          </w:rPr>
          <w:rPr>
            <w:color w:val="0000EE"/>
            <w:u w:val="single"/>
          </w:rPr>
          <w:t>capítulos 1–39</w:t>
        </w:r>
      </w:hyperlink>
      <w:r>
        <w:rPr>
          <w:lang w:val="pt_PT" w:bidi="pt_PT"/>
        </w:rPr>
        <w:t xml:space="preserve"> e a escrita dos </w:t>
      </w:r>
      <w:hyperlink r:id="rId36">
        <w:r>
          <w:rPr>
            <w:lang w:val="pt_PT" w:bidi="pt_PT"/>
          </w:rPr>
          <w:rPr>
            <w:color w:val="0000EE"/>
            <w:u w:val="single"/>
          </w:rPr>
          <w:t>capítulos 40–66</w:t>
        </w:r>
      </w:hyperlink>
      <w:r>
        <w:rPr>
          <w:lang w:val="pt_PT" w:bidi="pt_PT"/>
        </w:rPr>
        <w:t>.</w:t>
      </w:r>
    </w:p>
    <w:p>
      <w:pPr>
        <w:pStyle w:val="Heading2"/>
      </w:pPr>
      <w:r>
        <w:rPr>
          <w:lang w:val="pt_PT" w:bidi="pt_PT"/>
        </w:rPr>
        <w:t>Gêneros literários</w:t>
      </w:r>
    </w:p>
    <w:p>
      <w:pPr/>
      <w:r>
        <w:rPr>
          <w:lang w:val="pt_PT" w:bidi="pt_PT"/>
        </w:rPr>
      </w:r>
      <w:r>
        <w:rPr>
          <w:lang w:val="pt_PT" w:bidi="pt_PT"/>
        </w:rPr>
        <w:t>Isaías contém uma rica variedade de subgêneros:</w:t>
      </w:r>
    </w:p>
    <w:p>
      <w:pPr>
        <w:pStyle w:val="ListBullet"/>
        <w:spacing w:line="240" w:lineRule="auto"/>
        <w:ind w:left="720"/>
      </w:pPr>
      <w:r>
        <w:rPr>
          <w:lang w:val="pt_PT" w:bidi="pt_PT"/>
        </w:rPr>
      </w:r>
      <w:r>
        <w:rPr>
          <w:lang w:val="pt_PT" w:bidi="pt_PT"/>
        </w:rPr>
        <w:t>declarações de julgamento que alertam Israel de que Deus os punirá por seus pecados (</w:t>
      </w:r>
      <w:hyperlink r:id="rId37">
        <w:r>
          <w:rPr>
            <w:lang w:val="pt_PT" w:bidi="pt_PT"/>
          </w:rPr>
          <w:rPr>
            <w:color w:val="0000EE"/>
            <w:u w:val="single"/>
          </w:rPr>
          <w:t>9.8–21</w:t>
        </w:r>
      </w:hyperlink>
      <w:r>
        <w:rPr>
          <w:lang w:val="pt_PT" w:bidi="pt_PT"/>
        </w:rPr>
        <w:t>);</w:t>
      </w:r>
    </w:p>
    <w:p>
      <w:pPr>
        <w:pStyle w:val="ListBullet"/>
        <w:spacing w:line="240" w:lineRule="auto"/>
        <w:ind w:left="720"/>
      </w:pPr>
      <w:r>
        <w:rPr>
          <w:lang w:val="pt_PT" w:bidi="pt_PT"/>
        </w:rPr>
      </w:r>
      <w:r>
        <w:rPr>
          <w:lang w:val="pt_PT" w:bidi="pt_PT"/>
        </w:rPr>
        <w:t>profecias de ai que lamentam a morte que se aproxima da nação (</w:t>
      </w:r>
      <w:hyperlink r:id="rId38">
        <w:r>
          <w:rPr>
            <w:lang w:val="pt_PT" w:bidi="pt_PT"/>
          </w:rPr>
          <w:rPr>
            <w:color w:val="0000EE"/>
            <w:u w:val="single"/>
          </w:rPr>
          <w:t>5.8–30</w:t>
        </w:r>
      </w:hyperlink>
      <w:r>
        <w:rPr>
          <w:lang w:val="pt_PT" w:bidi="pt_PT"/>
        </w:rPr>
        <w:t xml:space="preserve">; </w:t>
      </w:r>
      <w:hyperlink r:id="rId39">
        <w:r>
          <w:rPr>
            <w:lang w:val="pt_PT" w:bidi="pt_PT"/>
          </w:rPr>
          <w:rPr>
            <w:color w:val="0000EE"/>
            <w:u w:val="single"/>
          </w:rPr>
          <w:t>29.1–12</w:t>
        </w:r>
      </w:hyperlink>
      <w:r>
        <w:rPr>
          <w:lang w:val="pt_PT" w:bidi="pt_PT"/>
        </w:rPr>
        <w:t xml:space="preserve">; </w:t>
      </w:r>
      <w:hyperlink r:id="rId40">
        <w:r>
          <w:rPr>
            <w:lang w:val="pt_PT" w:bidi="pt_PT"/>
          </w:rPr>
          <w:rPr>
            <w:color w:val="0000EE"/>
            <w:u w:val="single"/>
          </w:rPr>
          <w:t>31.1–9</w:t>
        </w:r>
      </w:hyperlink>
      <w:r>
        <w:rPr>
          <w:lang w:val="pt_PT" w:bidi="pt_PT"/>
        </w:rPr>
        <w:t>);</w:t>
      </w:r>
    </w:p>
    <w:p>
      <w:pPr>
        <w:pStyle w:val="ListBullet"/>
        <w:spacing w:line="240" w:lineRule="auto"/>
        <w:ind w:left="720"/>
      </w:pPr>
      <w:r>
        <w:rPr>
          <w:lang w:val="pt_PT" w:bidi="pt_PT"/>
        </w:rPr>
      </w:r>
      <w:r>
        <w:rPr>
          <w:lang w:val="pt_PT" w:bidi="pt_PT"/>
        </w:rPr>
        <w:t>parábolas que ensinam por analogia (</w:t>
      </w:r>
      <w:hyperlink r:id="rId41">
        <w:r>
          <w:rPr>
            <w:lang w:val="pt_PT" w:bidi="pt_PT"/>
          </w:rPr>
          <w:rPr>
            <w:color w:val="0000EE"/>
            <w:u w:val="single"/>
          </w:rPr>
          <w:t>5.1–8</w:t>
        </w:r>
      </w:hyperlink>
      <w:r>
        <w:rPr>
          <w:lang w:val="pt_PT" w:bidi="pt_PT"/>
        </w:rPr>
        <w:t xml:space="preserve">; </w:t>
      </w:r>
      <w:hyperlink r:id="rId42">
        <w:r>
          <w:rPr>
            <w:lang w:val="pt_PT" w:bidi="pt_PT"/>
          </w:rPr>
          <w:rPr>
            <w:color w:val="0000EE"/>
            <w:u w:val="single"/>
          </w:rPr>
          <w:t>27.2–6</w:t>
        </w:r>
      </w:hyperlink>
      <w:r>
        <w:rPr>
          <w:lang w:val="pt_PT" w:bidi="pt_PT"/>
        </w:rPr>
        <w:t>);</w:t>
      </w:r>
    </w:p>
    <w:p>
      <w:pPr>
        <w:pStyle w:val="ListBullet"/>
        <w:spacing w:line="240" w:lineRule="auto"/>
        <w:ind w:left="720"/>
      </w:pPr>
      <w:r>
        <w:rPr>
          <w:lang w:val="pt_PT" w:bidi="pt_PT"/>
        </w:rPr>
      </w:r>
      <w:r>
        <w:rPr>
          <w:lang w:val="pt_PT" w:bidi="pt_PT"/>
        </w:rPr>
        <w:t>declarações de julgamento para provar um caso (</w:t>
      </w:r>
      <w:hyperlink r:id="rId43">
        <w:r>
          <w:rPr>
            <w:lang w:val="pt_PT" w:bidi="pt_PT"/>
          </w:rPr>
          <w:rPr>
            <w:color w:val="0000EE"/>
            <w:u w:val="single"/>
          </w:rPr>
          <w:t>41.21–29</w:t>
        </w:r>
      </w:hyperlink>
      <w:r>
        <w:rPr>
          <w:lang w:val="pt_PT" w:bidi="pt_PT"/>
        </w:rPr>
        <w:t>);</w:t>
      </w:r>
    </w:p>
    <w:p>
      <w:pPr>
        <w:pStyle w:val="ListBullet"/>
        <w:spacing w:line="240" w:lineRule="auto"/>
        <w:ind w:left="720"/>
      </w:pPr>
      <w:r>
        <w:rPr>
          <w:lang w:val="pt_PT" w:bidi="pt_PT"/>
        </w:rPr>
      </w:r>
      <w:r>
        <w:rPr>
          <w:lang w:val="pt_PT" w:bidi="pt_PT"/>
        </w:rPr>
        <w:t>profecias salvíficas de esperança para o futuro (</w:t>
      </w:r>
      <w:hyperlink r:id="rId44">
        <w:r>
          <w:rPr>
            <w:lang w:val="pt_PT" w:bidi="pt_PT"/>
          </w:rPr>
          <w:rPr>
            <w:color w:val="0000EE"/>
            <w:u w:val="single"/>
          </w:rPr>
          <w:t>2.1–5</w:t>
        </w:r>
      </w:hyperlink>
      <w:r>
        <w:rPr>
          <w:lang w:val="pt_PT" w:bidi="pt_PT"/>
        </w:rPr>
        <w:t xml:space="preserve">; </w:t>
      </w:r>
      <w:hyperlink r:id="rId45">
        <w:r>
          <w:rPr>
            <w:lang w:val="pt_PT" w:bidi="pt_PT"/>
          </w:rPr>
          <w:rPr>
            <w:color w:val="0000EE"/>
            <w:u w:val="single"/>
          </w:rPr>
          <w:t>32.1–20</w:t>
        </w:r>
      </w:hyperlink>
      <w:r>
        <w:rPr>
          <w:lang w:val="pt_PT" w:bidi="pt_PT"/>
        </w:rPr>
        <w:t xml:space="preserve">; </w:t>
      </w:r>
      <w:hyperlink r:id="rId46">
        <w:r>
          <w:rPr>
            <w:lang w:val="pt_PT" w:bidi="pt_PT"/>
          </w:rPr>
          <w:rPr>
            <w:color w:val="0000EE"/>
            <w:u w:val="single"/>
          </w:rPr>
          <w:t>60.1–22</w:t>
        </w:r>
      </w:hyperlink>
      <w:r>
        <w:rPr>
          <w:lang w:val="pt_PT" w:bidi="pt_PT"/>
        </w:rPr>
        <w:t>);</w:t>
      </w:r>
    </w:p>
    <w:p>
      <w:pPr>
        <w:pStyle w:val="ListBullet"/>
        <w:spacing w:line="240" w:lineRule="auto"/>
        <w:ind w:left="720"/>
      </w:pPr>
      <w:r>
        <w:rPr>
          <w:lang w:val="pt_PT" w:bidi="pt_PT"/>
        </w:rPr>
      </w:r>
      <w:r>
        <w:rPr>
          <w:lang w:val="pt_PT" w:bidi="pt_PT"/>
        </w:rPr>
        <w:t>hinos de louvor a Deus por sua fidelidade (</w:t>
      </w:r>
      <w:hyperlink r:id="rId47">
        <w:r>
          <w:rPr>
            <w:lang w:val="pt_PT" w:bidi="pt_PT"/>
          </w:rPr>
          <w:rPr>
            <w:color w:val="0000EE"/>
            <w:u w:val="single"/>
          </w:rPr>
          <w:t>12.1–6</w:t>
        </w:r>
      </w:hyperlink>
      <w:r>
        <w:rPr>
          <w:lang w:val="pt_PT" w:bidi="pt_PT"/>
        </w:rPr>
        <w:t xml:space="preserve">; </w:t>
      </w:r>
      <w:hyperlink r:id="rId48">
        <w:r>
          <w:rPr>
            <w:lang w:val="pt_PT" w:bidi="pt_PT"/>
          </w:rPr>
          <w:rPr>
            <w:color w:val="0000EE"/>
            <w:u w:val="single"/>
          </w:rPr>
          <w:t>26.1–6</w:t>
        </w:r>
      </w:hyperlink>
      <w:r>
        <w:rPr>
          <w:lang w:val="pt_PT" w:bidi="pt_PT"/>
        </w:rPr>
        <w:t>);</w:t>
      </w:r>
    </w:p>
    <w:p>
      <w:pPr>
        <w:pStyle w:val="ListBullet"/>
        <w:spacing w:line="240" w:lineRule="auto"/>
        <w:ind w:left="720"/>
      </w:pPr>
      <w:r>
        <w:rPr>
          <w:lang w:val="pt_PT" w:bidi="pt_PT"/>
        </w:rPr>
      </w:r>
      <w:r>
        <w:rPr>
          <w:lang w:val="pt_PT" w:bidi="pt_PT"/>
        </w:rPr>
        <w:t>profecias contra nações estrangeiras (</w:t>
      </w:r>
      <w:hyperlink r:id="rId49">
        <w:r>
          <w:rPr>
            <w:lang w:val="pt_PT" w:bidi="pt_PT"/>
          </w:rPr>
          <w:rPr>
            <w:color w:val="0000EE"/>
            <w:u w:val="single"/>
          </w:rPr>
          <w:t>15.1–16.14</w:t>
        </w:r>
      </w:hyperlink>
      <w:r>
        <w:rPr>
          <w:lang w:val="pt_PT" w:bidi="pt_PT"/>
        </w:rPr>
        <w:t xml:space="preserve">; </w:t>
      </w:r>
      <w:hyperlink r:id="rId50">
        <w:r>
          <w:rPr>
            <w:lang w:val="pt_PT" w:bidi="pt_PT"/>
          </w:rPr>
          <w:rPr>
            <w:color w:val="0000EE"/>
            <w:u w:val="single"/>
          </w:rPr>
          <w:t>23.1–18</w:t>
        </w:r>
      </w:hyperlink>
      <w:r>
        <w:rPr>
          <w:lang w:val="pt_PT" w:bidi="pt_PT"/>
        </w:rPr>
        <w:t>);</w:t>
      </w:r>
    </w:p>
    <w:p>
      <w:pPr>
        <w:pStyle w:val="ListBullet"/>
        <w:spacing w:line="240" w:lineRule="auto"/>
        <w:ind w:left="720"/>
      </w:pPr>
      <w:r>
        <w:rPr>
          <w:lang w:val="pt_PT" w:bidi="pt_PT"/>
        </w:rPr>
      </w:r>
      <w:r>
        <w:rPr>
          <w:lang w:val="pt_PT" w:bidi="pt_PT"/>
        </w:rPr>
        <w:t>profecias de um rei que vem, o Messias (</w:t>
      </w:r>
      <w:hyperlink r:id="rId51">
        <w:r>
          <w:rPr>
            <w:lang w:val="pt_PT" w:bidi="pt_PT"/>
          </w:rPr>
          <w:rPr>
            <w:color w:val="0000EE"/>
            <w:u w:val="single"/>
          </w:rPr>
          <w:t>9.1–7</w:t>
        </w:r>
      </w:hyperlink>
      <w:r>
        <w:rPr>
          <w:lang w:val="pt_PT" w:bidi="pt_PT"/>
        </w:rPr>
        <w:t xml:space="preserve">; </w:t>
      </w:r>
      <w:hyperlink r:id="rId52">
        <w:r>
          <w:rPr>
            <w:lang w:val="pt_PT" w:bidi="pt_PT"/>
          </w:rPr>
          <w:rPr>
            <w:color w:val="0000EE"/>
            <w:u w:val="single"/>
          </w:rPr>
          <w:t>11.1–9</w:t>
        </w:r>
      </w:hyperlink>
      <w:r>
        <w:rPr>
          <w:lang w:val="pt_PT" w:bidi="pt_PT"/>
        </w:rPr>
        <w:t>);</w:t>
      </w:r>
    </w:p>
    <w:p>
      <w:pPr>
        <w:pStyle w:val="ListBullet"/>
        <w:spacing w:line="240" w:lineRule="auto"/>
        <w:ind w:left="720"/>
      </w:pPr>
      <w:r>
        <w:rPr>
          <w:lang w:val="pt_PT" w:bidi="pt_PT"/>
        </w:rPr>
      </w:r>
      <w:r>
        <w:rPr>
          <w:lang w:val="pt_PT" w:bidi="pt_PT"/>
        </w:rPr>
        <w:t>cânticos do servo a respeito daquele que sofreria pelos pecados dos outros (</w:t>
      </w:r>
      <w:hyperlink r:id="rId53">
        <w:r>
          <w:rPr>
            <w:lang w:val="pt_PT" w:bidi="pt_PT"/>
          </w:rPr>
          <w:rPr>
            <w:color w:val="0000EE"/>
            <w:u w:val="single"/>
          </w:rPr>
          <w:t>42.1–9</w:t>
        </w:r>
      </w:hyperlink>
      <w:r>
        <w:rPr>
          <w:lang w:val="pt_PT" w:bidi="pt_PT"/>
        </w:rPr>
        <w:t xml:space="preserve">; </w:t>
      </w:r>
      <w:hyperlink r:id="rId54">
        <w:r>
          <w:rPr>
            <w:lang w:val="pt_PT" w:bidi="pt_PT"/>
          </w:rPr>
          <w:rPr>
            <w:color w:val="0000EE"/>
            <w:u w:val="single"/>
          </w:rPr>
          <w:t>52.13–53.12</w:t>
        </w:r>
      </w:hyperlink>
      <w:r>
        <w:rPr>
          <w:lang w:val="pt_PT" w:bidi="pt_PT"/>
        </w:rPr>
        <w:t>); e</w:t>
      </w:r>
    </w:p>
    <w:p>
      <w:pPr>
        <w:pStyle w:val="ListBullet"/>
        <w:spacing w:line="240" w:lineRule="auto"/>
        <w:ind w:left="720"/>
      </w:pPr>
      <w:r>
        <w:rPr>
          <w:lang w:val="pt_PT" w:bidi="pt_PT"/>
        </w:rPr>
      </w:r>
      <w:r>
        <w:rPr>
          <w:lang w:val="pt_PT" w:bidi="pt_PT"/>
        </w:rPr>
        <w:t>narrativas de eventos atuais da época (</w:t>
      </w:r>
      <w:hyperlink r:id="rId55">
        <w:r>
          <w:rPr>
            <w:lang w:val="pt_PT" w:bidi="pt_PT"/>
          </w:rPr>
          <w:rPr>
            <w:color w:val="0000EE"/>
            <w:u w:val="single"/>
          </w:rPr>
          <w:t>36.1–22</w:t>
        </w:r>
      </w:hyperlink>
      <w:r>
        <w:rPr>
          <w:lang w:val="pt_PT" w:bidi="pt_PT"/>
        </w:rPr>
        <w:t xml:space="preserve">; </w:t>
      </w:r>
      <w:hyperlink r:id="rId25">
        <w:r>
          <w:rPr>
            <w:lang w:val="pt_PT" w:bidi="pt_PT"/>
          </w:rPr>
          <w:rPr>
            <w:color w:val="0000EE"/>
            <w:u w:val="single"/>
          </w:rPr>
          <w:t>39.1–8</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O livro de Isaías poderia ser chamado de Bíblia em miniatura. Tem mais conotações do Novo Testamento do que qualquer outro livro do Antigo Testamento. Isaías nos dá uma imagem de Deus como única e </w:t>
      </w:r>
      <w:r>
        <w:rPr>
          <w:i/>
          <w:lang w:val="pt_PT" w:bidi="pt_PT"/>
        </w:rPr>
        <w:t>transcendente</w:t>
      </w:r>
      <w:r>
        <w:rPr>
          <w:lang w:val="pt_PT" w:bidi="pt_PT"/>
        </w:rPr>
        <w:t xml:space="preserve"> (além de nossa experiência). No entanto, o Deus santo e exaltado se revela e deseja ser </w:t>
      </w:r>
      <w:r>
        <w:rPr>
          <w:i/>
          <w:lang w:val="pt_PT" w:bidi="pt_PT"/>
        </w:rPr>
        <w:t>Emanuel</w:t>
      </w:r>
      <w:r>
        <w:rPr>
          <w:lang w:val="pt_PT" w:bidi="pt_PT"/>
        </w:rPr>
        <w:t xml:space="preserve"> (“Deus conosco”, </w:t>
      </w:r>
      <w:hyperlink r:id="rId56">
        <w:r>
          <w:rPr>
            <w:lang w:val="pt_PT" w:bidi="pt_PT"/>
          </w:rPr>
          <w:rPr>
            <w:color w:val="0000EE"/>
            <w:u w:val="single"/>
          </w:rPr>
          <w:t>7.14</w:t>
        </w:r>
      </w:hyperlink>
      <w:r>
        <w:rPr>
          <w:lang w:val="pt_PT" w:bidi="pt_PT"/>
        </w:rPr>
        <w:t xml:space="preserve">). Portanto, o Deus transcendente também é </w:t>
      </w:r>
      <w:r>
        <w:rPr>
          <w:i/>
          <w:lang w:val="pt_PT" w:bidi="pt_PT"/>
        </w:rPr>
        <w:t>imanente</w:t>
      </w:r>
      <w:r>
        <w:rPr>
          <w:lang w:val="pt_PT" w:bidi="pt_PT"/>
        </w:rPr>
        <w:t xml:space="preserve"> (próximo). A proximidade de Deus prepara os leitores de Isaías para receber Deus </w:t>
      </w:r>
      <w:r>
        <w:rPr>
          <w:i/>
          <w:lang w:val="pt_PT" w:bidi="pt_PT"/>
        </w:rPr>
        <w:t>encarnado</w:t>
      </w:r>
      <w:r>
        <w:rPr>
          <w:lang w:val="pt_PT" w:bidi="pt_PT"/>
        </w:rPr>
        <w:t xml:space="preserve"> (no corpo), Jesus Cristo, que é verdadeiramente o Emanuel (veja </w:t>
      </w:r>
      <w:hyperlink r:id="rId57">
        <w:r>
          <w:rPr>
            <w:lang w:val="pt_PT" w:bidi="pt_PT"/>
          </w:rPr>
          <w:rPr>
            <w:color w:val="0000EE"/>
            <w:u w:val="single"/>
          </w:rPr>
          <w:t>Mt 1.21–23</w:t>
        </w:r>
      </w:hyperlink>
      <w:r>
        <w:rPr>
          <w:lang w:val="pt_PT" w:bidi="pt_PT"/>
        </w:rPr>
        <w:t>).</w:t>
      </w:r>
    </w:p>
    <w:p>
      <w:pPr/>
      <w:r>
        <w:rPr>
          <w:lang w:val="pt_PT" w:bidi="pt_PT"/>
        </w:rPr>
      </w:r>
      <w:r>
        <w:rPr>
          <w:lang w:val="pt_PT" w:bidi="pt_PT"/>
        </w:rP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pPr/>
      <w:r>
        <w:rPr>
          <w:lang w:val="pt_PT" w:bidi="pt_PT"/>
        </w:rPr>
      </w:r>
      <w:r>
        <w:rPr>
          <w:lang w:val="pt_PT" w:bidi="pt_PT"/>
        </w:rP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pPr/>
      <w:r>
        <w:rPr>
          <w:lang w:val="pt_PT" w:bidi="pt_PT"/>
        </w:rPr>
      </w:r>
      <w:r>
        <w:rPr>
          <w:lang w:val="pt_PT" w:bidi="pt_PT"/>
        </w:rP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