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i/>
          <w:lang w:val="ar_AE" w:bidi="ar_AE"/>
        </w:rPr>
        <w:t>سِفر القضاة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القضاة</w:t>
      </w:r>
      <w:r>
        <w:rPr>
          <w:lang w:val="ar_AE" w:bidi="ar_AE"/>
        </w:rPr>
      </w:r>
    </w:p>
    <w:p>
      <w:pPr>
        <w:bidi/>
      </w:pPr>
      <w:r>
        <w:rPr>
          <w:lang w:val="ar_AE" w:bidi="ar_AE"/>
        </w:rPr>
      </w:r>
      <w:r>
        <w:rPr>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lang w:val="ar_AE" w:bidi="ar_AE"/>
        </w:rPr>
        <w:t>أحداث السِفر</w:t>
      </w:r>
    </w:p>
    <w:p>
      <w:pPr>
        <w:bidi/>
      </w:pPr>
      <w:r>
        <w:rPr>
          <w:lang w:val="ar_AE" w:bidi="ar_AE"/>
        </w:rPr>
      </w:r>
      <w:r>
        <w:rPr>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lang w:val="ar_AE" w:bidi="ar_AE"/>
        </w:rPr>
        <w:t>لا شانسون دي رولاند</w:t>
      </w:r>
      <w:r>
        <w:rPr>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lang w:val="ar_AE" w:bidi="ar_AE"/>
        </w:rPr>
      </w:r>
      <w:r>
        <w:rPr>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lang w:val="ar_AE" w:bidi="ar_AE"/>
        </w:rPr>
        <w:t>منظمًا</w:t>
      </w:r>
      <w:r>
        <w:rPr>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lang w:val="ar_AE" w:bidi="ar_AE"/>
        </w:rPr>
      </w:r>
      <w:r>
        <w:rPr>
          <w:lang w:val="ar_AE" w:bidi="ar_AE"/>
        </w:rPr>
        <w:t>وفقًا لسِفر القضاة، كان لإسرائيل مصدران لأوجه القصور. أولًا، توضح المقدمات (</w:t>
      </w:r>
      <w:hyperlink r:id="rId13">
        <w:r>
          <w:rPr>
            <w:lang w:val="ar_AE" w:bidi="ar_AE"/>
          </w:rPr>
          <w:rPr>
            <w:color w:val="0000EE"/>
            <w:u w:val="single"/>
          </w:rPr>
          <w:t>1:1–2:5</w:t>
        </w:r>
      </w:hyperlink>
      <w:r>
        <w:rPr>
          <w:lang w:val="ar_AE" w:bidi="ar_AE"/>
        </w:rPr>
        <w:t xml:space="preserve"> و</w:t>
      </w:r>
      <w:hyperlink r:id="rId14">
        <w:r>
          <w:rPr>
            <w:lang w:val="ar_AE" w:bidi="ar_AE"/>
          </w:rPr>
          <w:rPr>
            <w:color w:val="0000EE"/>
            <w:u w:val="single"/>
          </w:rPr>
          <w:t>2:6–3:6</w:t>
        </w:r>
      </w:hyperlink>
      <w:r>
        <w:rPr>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5">
        <w:r>
          <w:rPr>
            <w:lang w:val="ar_AE" w:bidi="ar_AE"/>
          </w:rPr>
          <w:rPr>
            <w:color w:val="0000EE"/>
            <w:u w:val="single"/>
          </w:rPr>
          <w:t>17–21</w:t>
        </w:r>
      </w:hyperlink>
      <w:r>
        <w:rPr>
          <w:lang w:val="ar_AE" w:bidi="ar_AE"/>
        </w:rPr>
        <w:t>) وتُلخَّص في الجملة المتكررة "</w:t>
      </w:r>
      <w:r>
        <w:rPr>
          <w:lang w:val="ar_AE" w:bidi="ar_AE"/>
        </w:rPr>
        <w:t>فِي تِلْكَ ٱلْأَيَّامِ لَمْ يَكُنْ مَلِكٌ فِي إِسْرَائِيلَ. كَانَ كُلُّ وَاحِدٍ يَعْمَلُ مَا يَحْسُنُ فِي عَيْنَيْهِ</w:t>
      </w:r>
      <w:r>
        <w:rPr>
          <w:lang w:val="ar_AE" w:bidi="ar_AE"/>
        </w:rPr>
        <w:t>"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lang w:val="ar_AE" w:bidi="ar_AE"/>
        </w:rPr>
      </w:r>
      <w:r>
        <w:rPr>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0">
        <w:r>
          <w:rPr>
            <w:lang w:val="ar_AE" w:bidi="ar_AE"/>
          </w:rPr>
          <w:rPr>
            <w:color w:val="0000EE"/>
            <w:u w:val="single"/>
          </w:rPr>
          <w:t>2:16–19</w:t>
        </w:r>
      </w:hyperlink>
      <w:r>
        <w:rPr>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lang w:val="ar_AE" w:bidi="ar_AE"/>
        </w:rPr>
        <w:t>الخُلاصة</w:t>
      </w:r>
    </w:p>
    <w:p>
      <w:pPr>
        <w:bidi/>
      </w:pPr>
      <w:r>
        <w:rPr>
          <w:lang w:val="ar_AE" w:bidi="ar_AE"/>
        </w:rPr>
      </w:r>
      <w:r>
        <w:rPr>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1">
        <w:r>
          <w:rPr>
            <w:lang w:val="ar_AE" w:bidi="ar_AE"/>
          </w:rPr>
          <w:rPr>
            <w:color w:val="0000EE"/>
            <w:u w:val="single"/>
          </w:rPr>
          <w:t>يشوع 24:28–31</w:t>
        </w:r>
      </w:hyperlink>
      <w:r>
        <w:rPr>
          <w:lang w:val="ar_AE" w:bidi="ar_AE"/>
        </w:rPr>
        <w:t>. تذكر المقدمة الأولى (</w:t>
      </w:r>
      <w:hyperlink r:id="rId13">
        <w:r>
          <w:rPr>
            <w:lang w:val="ar_AE" w:bidi="ar_AE"/>
          </w:rPr>
          <w:rPr>
            <w:color w:val="0000EE"/>
            <w:u w:val="single"/>
          </w:rPr>
          <w:t>قضاة 1:1–2:5</w:t>
        </w:r>
      </w:hyperlink>
      <w:r>
        <w:rPr>
          <w:lang w:val="ar_AE" w:bidi="ar_AE"/>
        </w:rPr>
        <w:t>) إخفاقات أسباط بعينها في حفظ عهد الله. باكتفائهم بالاحتلال الجزئي للأرض، أظهروا تجاهلهم لوعد الرب وأثاروا انقطاع حمايته (</w:t>
      </w:r>
      <w:hyperlink r:id="rId22">
        <w:r>
          <w:rPr>
            <w:lang w:val="ar_AE" w:bidi="ar_AE"/>
          </w:rPr>
          <w:rPr>
            <w:color w:val="0000EE"/>
            <w:u w:val="single"/>
          </w:rPr>
          <w:t>2:1–3</w:t>
        </w:r>
      </w:hyperlink>
      <w:r>
        <w:rPr>
          <w:lang w:val="ar_AE" w:bidi="ar_AE"/>
        </w:rPr>
        <w:t>).</w:t>
      </w:r>
    </w:p>
    <w:p>
      <w:pPr>
        <w:bidi/>
      </w:pPr>
      <w:r>
        <w:rPr>
          <w:lang w:val="ar_AE" w:bidi="ar_AE"/>
        </w:rPr>
      </w:r>
      <w:r>
        <w:rPr>
          <w:lang w:val="ar_AE" w:bidi="ar_AE"/>
        </w:rPr>
        <w:t>تنتقل المقدمة الثانية (</w:t>
      </w:r>
      <w:hyperlink r:id="rId14">
        <w:r>
          <w:rPr>
            <w:lang w:val="ar_AE" w:bidi="ar_AE"/>
          </w:rPr>
          <w:rPr>
            <w:color w:val="0000EE"/>
            <w:u w:val="single"/>
          </w:rPr>
          <w:t>2:6–3:6</w:t>
        </w:r>
      </w:hyperlink>
      <w:r>
        <w:rPr>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lang w:val="ar_AE" w:bidi="ar_AE"/>
        </w:rPr>
        <w:t>جِيلٌ آخَرُ لَمْ يَعْرِفِ ٱلرَّبَّ، وَلَا ٱلْعَمَلَ ٱلَّذِي عَمِلَ لِإِسْرَائِيلَ</w:t>
      </w:r>
      <w:r>
        <w:rPr>
          <w:lang w:val="ar_AE" w:bidi="ar_AE"/>
        </w:rPr>
        <w:t>" (</w:t>
      </w:r>
      <w:hyperlink r:id="rId23">
        <w:r>
          <w:rPr>
            <w:lang w:val="ar_AE" w:bidi="ar_AE"/>
          </w:rPr>
          <w:rPr>
            <w:color w:val="0000EE"/>
            <w:u w:val="single"/>
          </w:rPr>
          <w:t>2:10</w:t>
        </w:r>
      </w:hyperlink>
      <w:r>
        <w:rPr>
          <w:lang w:val="ar_AE" w:bidi="ar_AE"/>
        </w:rPr>
        <w:t>). ثم يقدم السرد المِيزة المركزية للسِفر، القضاة الذين أقامهم ٱلله لإنقاذ إسرائيل ودعوتهم للعودة إلى طاعة العهد (</w:t>
      </w:r>
      <w:hyperlink r:id="rId24">
        <w:r>
          <w:rPr>
            <w:lang w:val="ar_AE" w:bidi="ar_AE"/>
          </w:rPr>
          <w:rPr>
            <w:color w:val="0000EE"/>
            <w:u w:val="single"/>
          </w:rPr>
          <w:t>2:16</w:t>
        </w:r>
      </w:hyperlink>
      <w:r>
        <w:rPr>
          <w:lang w:val="ar_AE" w:bidi="ar_AE"/>
        </w:rPr>
        <w:t xml:space="preserve">)، والدليل على ذلك سيكون الاحتلال الأمين لأرض الموعد. يُخبر </w:t>
      </w:r>
      <w:hyperlink r:id="rId25">
        <w:r>
          <w:rPr>
            <w:lang w:val="ar_AE" w:bidi="ar_AE"/>
          </w:rPr>
          <w:rPr>
            <w:color w:val="0000EE"/>
            <w:u w:val="single"/>
          </w:rPr>
          <w:t>قضاة 3:1–6</w:t>
        </w:r>
      </w:hyperlink>
      <w:r>
        <w:rPr>
          <w:lang w:val="ar_AE" w:bidi="ar_AE"/>
        </w:rPr>
        <w:t>، مثل نهاية المقدمة السابقة، القراء مسبقًا بأن الجهد سينتهي بالفشل.</w:t>
      </w:r>
    </w:p>
    <w:p>
      <w:pPr>
        <w:bidi/>
      </w:pPr>
      <w:r>
        <w:rPr>
          <w:lang w:val="ar_AE" w:bidi="ar_AE"/>
        </w:rPr>
      </w:r>
      <w:r>
        <w:rPr>
          <w:lang w:val="ar_AE" w:bidi="ar_AE"/>
        </w:rPr>
        <w:t>يتضمن القسم المركزي (</w:t>
      </w:r>
      <w:hyperlink r:id="rId26">
        <w:r>
          <w:rPr>
            <w:lang w:val="ar_AE" w:bidi="ar_AE"/>
          </w:rPr>
          <w:rPr>
            <w:color w:val="0000EE"/>
            <w:u w:val="single"/>
          </w:rPr>
          <w:t>3:7–16:31</w:t>
        </w:r>
      </w:hyperlink>
      <w:r>
        <w:rPr>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7">
        <w:r>
          <w:rPr>
            <w:lang w:val="ar_AE" w:bidi="ar_AE"/>
          </w:rPr>
          <w:rPr>
            <w:color w:val="0000EE"/>
            <w:u w:val="single"/>
          </w:rPr>
          <w:t>9</w:t>
        </w:r>
      </w:hyperlink>
      <w:r>
        <w:rPr>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lang w:val="ar_AE" w:bidi="ar_AE"/>
        </w:rPr>
        <w:t>12:8</w:t>
      </w:r>
      <w:r>
        <w:rPr>
          <w:lang w:val="ar_AE" w:bidi="ar_AE"/>
        </w:rPr>
        <w:t>). يشير المسار الحتمي نحو الفوضى في جميع أنحاء السِفر إلى حاجتهم لمجتمع أكثر مركزية.</w:t>
      </w:r>
    </w:p>
    <w:p>
      <w:pPr>
        <w:bidi/>
      </w:pPr>
      <w:r>
        <w:rPr>
          <w:lang w:val="ar_AE" w:bidi="ar_AE"/>
        </w:rPr>
      </w:r>
      <w:r>
        <w:rPr>
          <w:lang w:val="ar_AE" w:bidi="ar_AE"/>
        </w:rPr>
        <w:t xml:space="preserve">يختتم سفر القضاة بخاتمتَين (الإصحاحات </w:t>
      </w:r>
      <w:hyperlink r:id="rId28">
        <w:r>
          <w:rPr>
            <w:lang w:val="ar_AE" w:bidi="ar_AE"/>
          </w:rPr>
          <w:rPr>
            <w:color w:val="0000EE"/>
            <w:u w:val="single"/>
          </w:rPr>
          <w:t>17–18؛</w:t>
        </w:r>
      </w:hyperlink>
      <w:r>
        <w:rPr>
          <w:lang w:val="ar_AE" w:bidi="ar_AE"/>
        </w:rPr>
        <w:t xml:space="preserve"> </w:t>
      </w:r>
      <w:hyperlink r:id="rId29">
        <w:r>
          <w:rPr>
            <w:lang w:val="ar_AE" w:bidi="ar_AE"/>
          </w:rPr>
          <w:rPr>
            <w:color w:val="0000EE"/>
            <w:u w:val="single"/>
          </w:rPr>
          <w:t>19–21</w:t>
        </w:r>
      </w:hyperlink>
      <w:r>
        <w:rPr>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lang w:val="ar_AE" w:bidi="ar_AE"/>
        </w:rPr>
        <w:t>فِي تِلْكَ ٱلْأَيَّامِ لَمْ يَكُنْ مَلِكٌ فِي إِسْرَائِيلَ</w:t>
      </w:r>
      <w:r>
        <w:rPr>
          <w:lang w:val="ar_AE" w:bidi="ar_AE"/>
        </w:rPr>
        <w:t>"، التي يضاف إليها مرتين، "</w:t>
      </w:r>
      <w:r>
        <w:rPr>
          <w:lang w:val="ar_AE" w:bidi="ar_AE"/>
        </w:rPr>
        <w:t>كَانَ كُلُّ وَاحِدٍ يَعْمَلُ مَا يَحْسُنُ فِي عَيْنَيْهِ</w:t>
      </w:r>
      <w:r>
        <w:rPr>
          <w:lang w:val="ar_AE" w:bidi="ar_AE"/>
        </w:rPr>
        <w:t xml:space="preserve">" (انظر </w:t>
      </w:r>
      <w:hyperlink r:id="rId16">
        <w:r>
          <w:rPr>
            <w:lang w:val="ar_AE" w:bidi="ar_AE"/>
          </w:rPr>
          <w:rPr>
            <w:color w:val="0000EE"/>
            <w:u w:val="single"/>
          </w:rPr>
          <w:t>17:6؛</w:t>
        </w:r>
      </w:hyperlink>
      <w:r>
        <w:rPr>
          <w:lang w:val="ar_AE" w:bidi="ar_AE"/>
        </w:rPr>
        <w:t xml:space="preserve"> </w:t>
      </w:r>
      <w:hyperlink r:id="rId17">
        <w:r>
          <w:rPr>
            <w:lang w:val="ar_AE" w:bidi="ar_AE"/>
          </w:rPr>
          <w:rPr>
            <w:color w:val="0000EE"/>
            <w:u w:val="single"/>
          </w:rPr>
          <w:t>18:1؛</w:t>
        </w:r>
      </w:hyperlink>
      <w:r>
        <w:rPr>
          <w:lang w:val="ar_AE" w:bidi="ar_AE"/>
        </w:rPr>
        <w:t xml:space="preserve"> </w:t>
      </w:r>
      <w:hyperlink r:id="rId18">
        <w:r>
          <w:rPr>
            <w:lang w:val="ar_AE" w:bidi="ar_AE"/>
          </w:rPr>
          <w:rPr>
            <w:color w:val="0000EE"/>
            <w:u w:val="single"/>
          </w:rPr>
          <w:t>19:1؛</w:t>
        </w:r>
      </w:hyperlink>
      <w:r>
        <w:rPr>
          <w:lang w:val="ar_AE" w:bidi="ar_AE"/>
        </w:rPr>
        <w:t xml:space="preserve"> </w:t>
      </w:r>
      <w:hyperlink r:id="rId19">
        <w:r>
          <w:rPr>
            <w:lang w:val="ar_AE" w:bidi="ar_AE"/>
          </w:rPr>
          <w:rPr>
            <w:color w:val="0000EE"/>
            <w:u w:val="single"/>
          </w:rPr>
          <w:t>21:25</w:t>
        </w:r>
      </w:hyperlink>
      <w:r>
        <w:rPr>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lang w:val="ar_AE" w:bidi="ar_AE"/>
        </w:rPr>
        <w:t>الكُتاب وتاريخ الكتابة</w:t>
      </w:r>
    </w:p>
    <w:p>
      <w:pPr>
        <w:bidi/>
      </w:pPr>
      <w:r>
        <w:rPr>
          <w:lang w:val="ar_AE" w:bidi="ar_AE"/>
        </w:rPr>
      </w:r>
      <w:r>
        <w:rPr>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lang w:val="ar_AE" w:bidi="ar_AE"/>
        </w:rPr>
      </w:r>
      <w:r>
        <w:rPr>
          <w:lang w:val="ar_AE" w:bidi="ar_AE"/>
        </w:rPr>
        <w:t>تشير الأدلة من آخر أصحاح من هذا التاريخ (</w:t>
      </w:r>
      <w:hyperlink r:id="rId30">
        <w:r>
          <w:rPr>
            <w:lang w:val="ar_AE" w:bidi="ar_AE"/>
          </w:rPr>
          <w:rPr>
            <w:color w:val="0000EE"/>
            <w:u w:val="single"/>
          </w:rPr>
          <w:t>2 ملوك 25:27–30</w:t>
        </w:r>
      </w:hyperlink>
      <w:r>
        <w:rPr>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lang w:val="ar_AE" w:bidi="ar_AE"/>
        </w:rPr>
        <w:t>التسلسُل الزمني للقضاة</w:t>
      </w:r>
    </w:p>
    <w:p>
      <w:pPr>
        <w:bidi/>
      </w:pPr>
      <w:r>
        <w:rPr>
          <w:lang w:val="ar_AE" w:bidi="ar_AE"/>
        </w:rPr>
      </w:r>
      <w:r>
        <w:rPr>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1">
        <w:r>
          <w:rPr>
            <w:lang w:val="ar_AE" w:bidi="ar_AE"/>
          </w:rPr>
          <w:rPr>
            <w:color w:val="0000EE"/>
            <w:u w:val="single"/>
          </w:rPr>
          <w:t>قضاة 11:26</w:t>
        </w:r>
      </w:hyperlink>
      <w:r>
        <w:rPr>
          <w:lang w:val="ar_AE" w:bidi="ar_AE"/>
        </w:rPr>
        <w:t xml:space="preserve"> و</w:t>
      </w:r>
      <w:hyperlink r:id="rId32">
        <w:r>
          <w:rPr>
            <w:lang w:val="ar_AE" w:bidi="ar_AE"/>
          </w:rPr>
          <w:rPr>
            <w:color w:val="0000EE"/>
            <w:u w:val="single"/>
          </w:rPr>
          <w:t>1 ملوك 6:1</w:t>
        </w:r>
      </w:hyperlink>
      <w:r>
        <w:rPr>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lang w:val="ar_AE" w:bidi="ar_AE"/>
        </w:rPr>
      </w:r>
      <w:r>
        <w:rPr>
          <w:lang w:val="ar_AE" w:bidi="ar_AE"/>
        </w:rPr>
        <w:t xml:space="preserve">دخل شعب إسرائيل أرض كنعان في عام 1406 أو 1230 قبل الميلاد، وذلك بناءً على تاريخ الخروج (انظر </w:t>
      </w:r>
      <w:r>
        <w:rPr>
          <w:lang w:val="ar_AE" w:bidi="ar_AE"/>
        </w:rPr>
        <w:t>مقدمة سِفر الخروج</w:t>
      </w:r>
      <w:r>
        <w:rPr>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lang w:val="ar_AE" w:bidi="ar_AE"/>
        </w:rPr>
      </w:r>
      <w:r>
        <w:rPr>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lang w:val="ar_AE" w:bidi="ar_AE"/>
        </w:rPr>
      </w:r>
      <w:r>
        <w:rPr>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3">
        <w:r>
          <w:rPr>
            <w:lang w:val="ar_AE" w:bidi="ar_AE"/>
          </w:rPr>
          <w:rPr>
            <w:color w:val="0000EE"/>
            <w:u w:val="single"/>
          </w:rPr>
          <w:t>قضاة 10:7</w:t>
        </w:r>
      </w:hyperlink>
      <w:r>
        <w:rPr>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lang w:val="ar_AE" w:bidi="ar_AE"/>
        </w:rPr>
      </w:r>
      <w:r>
        <w:rPr>
          <w:lang w:val="ar_AE" w:bidi="ar_AE"/>
        </w:rPr>
        <w:t>في بعض الحالات، يشير النص إلى تسلسل بين القضاة. على سبيل المثال، تولى شمجر القضاء "بعد إهود" (</w:t>
      </w:r>
      <w:hyperlink r:id="rId34">
        <w:r>
          <w:rPr>
            <w:lang w:val="ar_AE" w:bidi="ar_AE"/>
          </w:rPr>
          <w:rPr>
            <w:color w:val="0000EE"/>
            <w:u w:val="single"/>
          </w:rPr>
          <w:t>3:31</w:t>
        </w:r>
      </w:hyperlink>
      <w:r>
        <w:rPr>
          <w:lang w:val="ar_AE" w:bidi="ar_AE"/>
        </w:rPr>
        <w:t>) ودبورة تولَّت "بعد وفاة إهود" (</w:t>
      </w:r>
      <w:hyperlink r:id="rId35">
        <w:r>
          <w:rPr>
            <w:lang w:val="ar_AE" w:bidi="ar_AE"/>
          </w:rPr>
          <w:rPr>
            <w:color w:val="0000EE"/>
            <w:u w:val="single"/>
          </w:rPr>
          <w:t>4:1؛</w:t>
        </w:r>
      </w:hyperlink>
      <w:r>
        <w:rPr>
          <w:lang w:val="ar_AE" w:bidi="ar_AE"/>
        </w:rPr>
        <w:t xml:space="preserve"> انظر أيضًا </w:t>
      </w:r>
      <w:hyperlink r:id="rId36">
        <w:r>
          <w:rPr>
            <w:lang w:val="ar_AE" w:bidi="ar_AE"/>
          </w:rPr>
          <w:rPr>
            <w:color w:val="0000EE"/>
            <w:u w:val="single"/>
          </w:rPr>
          <w:t>5:6</w:t>
        </w:r>
      </w:hyperlink>
      <w:r>
        <w:rPr>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lang w:val="ar_AE" w:bidi="ar_AE"/>
        </w:rPr>
      </w:r>
      <w:r>
        <w:rPr>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lang w:val="ar_AE" w:bidi="ar_AE"/>
        </w:rPr>
        <w:t>المعنى والرسالة</w:t>
      </w:r>
    </w:p>
    <w:p>
      <w:pPr>
        <w:bidi/>
      </w:pPr>
      <w:r>
        <w:rPr>
          <w:lang w:val="ar_AE" w:bidi="ar_AE"/>
        </w:rPr>
      </w:r>
      <w:r>
        <w:rPr>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lang w:val="ar_AE" w:bidi="ar_AE"/>
        </w:rPr>
      </w:r>
      <w:r>
        <w:rPr>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lang w:val="ar_AE" w:bidi="ar_AE"/>
        </w:rPr>
      </w:r>
      <w:r>
        <w:rPr>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lang w:val="ar_AE" w:bidi="ar_AE"/>
        </w:rPr>
      </w:r>
      <w:r>
        <w:rPr>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lang w:val="ar_AE" w:bidi="ar_AE"/>
        </w:rPr>
      </w:r>
      <w:r>
        <w:rPr>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7">
        <w:r>
          <w:rPr>
            <w:lang w:val="ar_AE" w:bidi="ar_AE"/>
          </w:rPr>
          <w:rPr>
            <w:color w:val="0000EE"/>
            <w:u w:val="single"/>
          </w:rPr>
          <w:t>2 صموئيل 7:1–29</w:t>
        </w:r>
      </w:hyperlink>
      <w:r>
        <w:rPr>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