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سفر صموئيل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lang w:val="ar_AE" w:bidi="ar_AE"/>
        </w:rPr>
        <w:t>أحداث وخَلفية السِفر</w:t>
      </w:r>
    </w:p>
    <w:p>
      <w:pPr>
        <w:bidi/>
      </w:pPr>
      <w:r>
        <w:rPr>
          <w:lang w:val="ar_AE" w:bidi="ar_AE"/>
        </w:rPr>
      </w:r>
      <w:r>
        <w:rPr>
          <w:lang w:val="ar_AE" w:bidi="ar_AE"/>
        </w:rPr>
        <w:t>تنبأ موسى بأن شعب إسرائيل سيطلب ملكًا ليحكمهم (</w:t>
      </w:r>
      <w:hyperlink r:id="rId13">
        <w:r>
          <w:rPr>
            <w:lang w:val="ar_AE" w:bidi="ar_AE"/>
          </w:rPr>
          <w:rPr>
            <w:color w:val="0000EE"/>
            <w:u w:val="single"/>
          </w:rPr>
          <w:t>تثنية 17:14–20</w:t>
        </w:r>
      </w:hyperlink>
      <w:r>
        <w:rPr>
          <w:lang w:val="ar_AE" w:bidi="ar_AE"/>
        </w:rPr>
        <w:t>). أوضح الله المتطلبات اللازمة للملِك (</w:t>
      </w:r>
      <w:hyperlink r:id="rId14">
        <w:r>
          <w:rPr>
            <w:lang w:val="ar_AE" w:bidi="ar_AE"/>
          </w:rPr>
          <w:rPr>
            <w:color w:val="0000EE"/>
            <w:u w:val="single"/>
          </w:rPr>
          <w:t>تثنية 17:15</w:t>
        </w:r>
      </w:hyperlink>
      <w:r>
        <w:rPr>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hyperlink r:id="rId15">
        <w:r>
          <w:rPr>
            <w:lang w:val="ar_AE" w:bidi="ar_AE"/>
          </w:rPr>
          <w:rPr>
            <w:color w:val="0000EE"/>
            <w:u w:val="single"/>
          </w:rPr>
          <w:t>تثنية 17:16–17</w:t>
        </w:r>
      </w:hyperlink>
      <w:r>
        <w:rPr>
          <w:lang w:val="ar_AE" w:bidi="ar_AE"/>
        </w:rPr>
        <w:t>). لتقليل هذه النزعات، أمر الله بأن يدرس كل ملِك من ملوك إسرائيل شريعة الله (</w:t>
      </w:r>
      <w:hyperlink r:id="rId16">
        <w:r>
          <w:rPr>
            <w:lang w:val="ar_AE" w:bidi="ar_AE"/>
          </w:rPr>
          <w:rPr>
            <w:color w:val="0000EE"/>
            <w:u w:val="single"/>
          </w:rPr>
          <w:t>تثنية 17:18–20</w:t>
        </w:r>
      </w:hyperlink>
      <w:r>
        <w:rPr>
          <w:lang w:val="ar_AE" w:bidi="ar_AE"/>
        </w:rPr>
        <w:t>).</w:t>
      </w:r>
    </w:p>
    <w:p>
      <w:pPr>
        <w:bidi/>
      </w:pPr>
      <w:r>
        <w:rPr>
          <w:lang w:val="ar_AE" w:bidi="ar_AE"/>
        </w:rPr>
      </w:r>
      <w:r>
        <w:rPr>
          <w:lang w:val="ar_AE" w:bidi="ar_AE"/>
        </w:rPr>
        <w:t xml:space="preserve">في زمن القضاة، كانت أسباط إسرائيل تفتقر إلى الوحدة (انظر </w:t>
      </w:r>
      <w:hyperlink r:id="rId17">
        <w:r>
          <w:rPr>
            <w:lang w:val="ar_AE" w:bidi="ar_AE"/>
          </w:rPr>
          <w:rPr>
            <w:color w:val="0000EE"/>
            <w:u w:val="single"/>
          </w:rPr>
          <w:t>قضاة 17–21</w:t>
        </w:r>
      </w:hyperlink>
      <w:r>
        <w:rPr>
          <w:lang w:val="ar_AE" w:bidi="ar_AE"/>
        </w:rPr>
        <w:t>). عندما جاء زمن صموئيل، كانت إسرائيل تسعى لأن يكون لها مَلِك لتوحيد الأمة وحمايتها من التهديدات الداخلية والخارجية.</w:t>
      </w:r>
    </w:p>
    <w:p>
      <w:pPr>
        <w:bidi/>
      </w:pPr>
      <w:r>
        <w:rPr>
          <w:lang w:val="ar_AE" w:bidi="ar_AE"/>
        </w:rPr>
      </w:r>
      <w:r>
        <w:rPr>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hyperlink r:id="rId18">
        <w:r>
          <w:rPr>
            <w:lang w:val="ar_AE" w:bidi="ar_AE"/>
          </w:rPr>
          <w:rPr>
            <w:color w:val="0000EE"/>
            <w:u w:val="single"/>
          </w:rPr>
          <w:t>قضاة 8:22–23</w:t>
        </w:r>
      </w:hyperlink>
      <w:r>
        <w:rPr>
          <w:lang w:val="ar_AE" w:bidi="ar_AE"/>
        </w:rPr>
        <w:t>)، لكنه بدأ يتصرف كالملوك: جمع الذهب واستخدمه لبناء صنم ديني (</w:t>
      </w:r>
      <w:hyperlink r:id="rId19">
        <w:r>
          <w:rPr>
            <w:lang w:val="ar_AE" w:bidi="ar_AE"/>
          </w:rPr>
          <w:rPr>
            <w:color w:val="0000EE"/>
            <w:u w:val="single"/>
          </w:rPr>
          <w:t>قضاة 8:24–27</w:t>
        </w:r>
      </w:hyperlink>
      <w:r>
        <w:rPr>
          <w:lang w:val="ar_AE" w:bidi="ar_AE"/>
        </w:rPr>
        <w:t>) وتزوج العديد من النساء (</w:t>
      </w:r>
      <w:hyperlink r:id="rId20">
        <w:r>
          <w:rPr>
            <w:lang w:val="ar_AE" w:bidi="ar_AE"/>
          </w:rPr>
          <w:rPr>
            <w:color w:val="0000EE"/>
            <w:u w:val="single"/>
          </w:rPr>
          <w:t>قضاة 8:30</w:t>
        </w:r>
      </w:hyperlink>
      <w:r>
        <w:rPr>
          <w:lang w:val="ar_AE" w:bidi="ar_AE"/>
        </w:rPr>
        <w:t>)، حتى أنه سمَّى أحد أبنائه أبيمالك، الذي يعني "أبي ملِكٌ" (</w:t>
      </w:r>
      <w:hyperlink r:id="rId21">
        <w:r>
          <w:rPr>
            <w:lang w:val="ar_AE" w:bidi="ar_AE"/>
          </w:rPr>
          <w:rPr>
            <w:color w:val="0000EE"/>
            <w:u w:val="single"/>
          </w:rPr>
          <w:t>قضاة 8:31</w:t>
        </w:r>
      </w:hyperlink>
      <w:r>
        <w:rPr>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lang w:val="ar_AE" w:bidi="ar_AE"/>
        </w:rPr>
        <w:t>الخلاصة</w:t>
      </w:r>
    </w:p>
    <w:p>
      <w:pPr>
        <w:bidi/>
      </w:pPr>
      <w:r>
        <w:rPr>
          <w:lang w:val="ar_AE" w:bidi="ar_AE"/>
        </w:rPr>
      </w:r>
      <w:r>
        <w:rPr>
          <w:lang w:val="ar_AE" w:bidi="ar_AE"/>
        </w:rPr>
        <w:t xml:space="preserve">في </w:t>
      </w:r>
      <w:hyperlink r:id="rId22">
        <w:r>
          <w:rPr>
            <w:lang w:val="ar_AE" w:bidi="ar_AE"/>
          </w:rPr>
          <w:rPr>
            <w:color w:val="0000EE"/>
            <w:u w:val="single"/>
          </w:rPr>
          <w:t>1 صموئيل 1–7</w:t>
        </w:r>
      </w:hyperlink>
      <w:r>
        <w:rPr>
          <w:lang w:val="ar_AE" w:bidi="ar_AE"/>
        </w:rPr>
        <w:t>، يظهر صموئيل قاضيًا ونبيًا لله. وُلد صموئيل لامرأة متدينة تُدعى حَنّة، التي كانت سابقًا عاقرًا (</w:t>
      </w:r>
      <w:hyperlink r:id="rId23">
        <w:r>
          <w:rPr>
            <w:lang w:val="ar_AE" w:bidi="ar_AE"/>
          </w:rPr>
          <w:rPr>
            <w:color w:val="0000EE"/>
            <w:u w:val="single"/>
          </w:rPr>
          <w:t>1:1–23</w:t>
        </w:r>
      </w:hyperlink>
      <w:r>
        <w:rPr>
          <w:lang w:val="ar_AE" w:bidi="ar_AE"/>
        </w:rPr>
        <w:t>). كطفل صغير، أصبح صموئيل، وهو لاوي، (</w:t>
      </w:r>
      <w:hyperlink r:id="rId24">
        <w:r>
          <w:rPr>
            <w:lang w:val="ar_AE" w:bidi="ar_AE"/>
          </w:rPr>
          <w:rPr>
            <w:color w:val="0000EE"/>
            <w:u w:val="single"/>
          </w:rPr>
          <w:t>1 أخبار 6:33–34</w:t>
        </w:r>
      </w:hyperlink>
      <w:r>
        <w:rPr>
          <w:lang w:val="ar_AE" w:bidi="ar_AE"/>
        </w:rPr>
        <w:t>) متدربًا في الخيمة تحت إشراف عالي الكاهن (</w:t>
      </w:r>
      <w:hyperlink r:id="rId25">
        <w:r>
          <w:rPr>
            <w:lang w:val="ar_AE" w:bidi="ar_AE"/>
          </w:rPr>
          <w:rPr>
            <w:color w:val="0000EE"/>
            <w:u w:val="single"/>
          </w:rPr>
          <w:t>1:24–3:18</w:t>
        </w:r>
      </w:hyperlink>
      <w:r>
        <w:rPr>
          <w:lang w:val="ar_AE" w:bidi="ar_AE"/>
        </w:rPr>
        <w:t>). من المحتمل أن يكون قد دُرِّبَ ليصبح مساعدًا في الخيمة، لكن بدلًا من ذلك، أصبح صموئيل نبيًا ذا سمعة متزايدة (</w:t>
      </w:r>
      <w:hyperlink r:id="rId26">
        <w:r>
          <w:rPr>
            <w:lang w:val="ar_AE" w:bidi="ar_AE"/>
          </w:rPr>
          <w:rPr>
            <w:color w:val="0000EE"/>
            <w:u w:val="single"/>
          </w:rPr>
          <w:t>3:19–4:1أ</w:t>
        </w:r>
      </w:hyperlink>
      <w:r>
        <w:rPr>
          <w:lang w:val="ar_AE" w:bidi="ar_AE"/>
        </w:rPr>
        <w:t>). من الواضح أنه لم يكن بارزًا بعد في حياة الأمة الإسرائيلية عندما أزعج الفلسطينيون الإسرائيليين واستولوا على تابوت العهد (</w:t>
      </w:r>
      <w:hyperlink r:id="rId27">
        <w:r>
          <w:rPr>
            <w:lang w:val="ar_AE" w:bidi="ar_AE"/>
          </w:rPr>
          <w:rPr>
            <w:color w:val="0000EE"/>
            <w:u w:val="single"/>
          </w:rPr>
          <w:t>4:1–7:2</w:t>
        </w:r>
      </w:hyperlink>
      <w:r>
        <w:rPr>
          <w:lang w:val="ar_AE" w:bidi="ar_AE"/>
        </w:rPr>
        <w:t xml:space="preserve">)، إذ نجده غائبًا عن تلك الرواية. في أصحاح </w:t>
      </w:r>
      <w:hyperlink r:id="rId28">
        <w:r>
          <w:rPr>
            <w:lang w:val="ar_AE" w:bidi="ar_AE"/>
          </w:rPr>
          <w:rPr>
            <w:color w:val="0000EE"/>
            <w:u w:val="single"/>
          </w:rPr>
          <w:t>7</w:t>
        </w:r>
      </w:hyperlink>
      <w:r>
        <w:rPr>
          <w:lang w:val="ar_AE" w:bidi="ar_AE"/>
        </w:rPr>
        <w:t>، يظهر صموئيل مُجدَدًا، داعيًا إسرائيل إلى التوبة؛ وبسلوكه مسلَك القاضي، طرد الظالمين الفلسطينيين.</w:t>
      </w:r>
    </w:p>
    <w:p>
      <w:pPr>
        <w:bidi/>
      </w:pPr>
      <w:r>
        <w:rPr>
          <w:lang w:val="ar_AE" w:bidi="ar_AE"/>
        </w:rPr>
      </w:r>
      <w:r>
        <w:rPr>
          <w:lang w:val="ar_AE" w:bidi="ar_AE"/>
        </w:rPr>
        <w:t>امتدت قيادة صموئيل بصفته لاويًّا ونبيًا وقاضيًا عبر جميع مجالات الحياة العامة. مع ذلك، لم يُثبِت أبناؤه استحقاقهم للاستمرار في مكانه (</w:t>
      </w:r>
      <w:hyperlink r:id="rId29">
        <w:r>
          <w:rPr>
            <w:lang w:val="ar_AE" w:bidi="ar_AE"/>
          </w:rPr>
          <w:rPr>
            <w:color w:val="0000EE"/>
            <w:u w:val="single"/>
          </w:rPr>
          <w:t>8:1–3</w:t>
        </w:r>
      </w:hyperlink>
      <w:r>
        <w:rPr>
          <w:lang w:val="ar_AE" w:bidi="ar_AE"/>
        </w:rPr>
        <w:t>)، لذلك طلب الإسرائيليون من صموئيل تعيين ملكًا لقيادتهم، مثل باقي الأمم. كان صموئيل صريحًا في معارضته (</w:t>
      </w:r>
      <w:hyperlink r:id="rId30">
        <w:r>
          <w:rPr>
            <w:lang w:val="ar_AE" w:bidi="ar_AE"/>
          </w:rPr>
          <w:rPr>
            <w:color w:val="0000EE"/>
            <w:u w:val="single"/>
          </w:rPr>
          <w:t>8:10–21</w:t>
        </w:r>
      </w:hyperlink>
      <w:r>
        <w:rPr>
          <w:lang w:val="ar_AE" w:bidi="ar_AE"/>
        </w:rPr>
        <w:t xml:space="preserve">)، مع ذلك أمر ٱلرَّبُ صموئيل بمسح شاول ملكًا (الإصحاحان </w:t>
      </w:r>
      <w:hyperlink r:id="rId31">
        <w:r>
          <w:rPr>
            <w:lang w:val="ar_AE" w:bidi="ar_AE"/>
          </w:rPr>
          <w:rPr>
            <w:color w:val="0000EE"/>
            <w:u w:val="single"/>
          </w:rPr>
          <w:t>9–10</w:t>
        </w:r>
      </w:hyperlink>
      <w:r>
        <w:rPr>
          <w:lang w:val="ar_AE" w:bidi="ar_AE"/>
        </w:rPr>
        <w:t xml:space="preserve">). في خطابه الوداعي، ذكَّر صموئيل الإسرائيليين بقوة ٱلله ورعايته لهم (الإصحاح </w:t>
      </w:r>
      <w:hyperlink r:id="rId32">
        <w:r>
          <w:rPr>
            <w:lang w:val="ar_AE" w:bidi="ar_AE"/>
          </w:rPr>
          <w:rPr>
            <w:color w:val="0000EE"/>
            <w:u w:val="single"/>
          </w:rPr>
          <w:t>12</w:t>
        </w:r>
      </w:hyperlink>
      <w:r>
        <w:rPr>
          <w:lang w:val="ar_AE" w:bidi="ar_AE"/>
        </w:rPr>
        <w:t>). أراد منهم أن يدركوا خطأهم في طلبهم ملكًا يملك عليهم بدلًا من الثقة في ٱلرّب.</w:t>
      </w:r>
    </w:p>
    <w:p>
      <w:pPr>
        <w:bidi/>
      </w:pPr>
      <w:r>
        <w:rPr>
          <w:lang w:val="ar_AE" w:bidi="ar_AE"/>
        </w:rPr>
      </w:r>
      <w:r>
        <w:rPr>
          <w:lang w:val="ar_AE" w:bidi="ar_AE"/>
        </w:rPr>
        <w:t xml:space="preserve">في البداية، كان شاول ملكًا صالحًا. هزم العمونيين المجاورين وأنقذ مدينة يابيش من الهلاك (الإصحاح </w:t>
      </w:r>
      <w:hyperlink r:id="rId33">
        <w:r>
          <w:rPr>
            <w:lang w:val="ar_AE" w:bidi="ar_AE"/>
          </w:rPr>
          <w:rPr>
            <w:color w:val="0000EE"/>
            <w:u w:val="single"/>
          </w:rPr>
          <w:t>11</w:t>
        </w:r>
      </w:hyperlink>
      <w:r>
        <w:rPr>
          <w:lang w:val="ar_AE" w:bidi="ar_AE"/>
        </w:rPr>
        <w:t xml:space="preserve">). لكن شاول أثبت بسرعة، بعصيانه لله، أنه لم يكن جديرًا بأن يكون ملِكًا لإسرائيل (الإصحاحات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على النقيض من ذلك، بدا على يوناثان ابن شاول، النبيل الخُلُق، أنه الخليفة المثالي للمُلك (</w:t>
      </w:r>
      <w:hyperlink r:id="rId36">
        <w:r>
          <w:rPr>
            <w:lang w:val="ar_AE" w:bidi="ar_AE"/>
          </w:rPr>
          <w:rPr>
            <w:color w:val="0000EE"/>
            <w:u w:val="single"/>
          </w:rPr>
          <w:t>14:1–52</w:t>
        </w:r>
      </w:hyperlink>
      <w:r>
        <w:rPr>
          <w:lang w:val="ar_AE" w:bidi="ar_AE"/>
        </w:rPr>
        <w:t xml:space="preserve">). لكن يوناثان لم يخلف شاول، إذ كانت لدى الله خطط مختلفة (الإصحاحات </w:t>
      </w:r>
      <w:hyperlink r:id="rId37">
        <w:r>
          <w:rPr>
            <w:lang w:val="ar_AE" w:bidi="ar_AE"/>
          </w:rPr>
          <w:rPr>
            <w:color w:val="0000EE"/>
            <w:u w:val="single"/>
          </w:rPr>
          <w:t>16–31</w:t>
        </w:r>
      </w:hyperlink>
      <w:r>
        <w:rPr>
          <w:lang w:val="ar_AE" w:bidi="ar_AE"/>
        </w:rPr>
        <w:t>). أوصى الله صموئيل بمسح داود سرًا خليفة لشاول حين كان شاول لا يزال ملكًا (</w:t>
      </w:r>
      <w:hyperlink r:id="rId38">
        <w:r>
          <w:rPr>
            <w:lang w:val="ar_AE" w:bidi="ar_AE"/>
          </w:rPr>
          <w:rPr>
            <w:color w:val="0000EE"/>
            <w:u w:val="single"/>
          </w:rPr>
          <w:t>16:1–13</w:t>
        </w:r>
      </w:hyperlink>
      <w:r>
        <w:rPr>
          <w:lang w:val="ar_AE" w:bidi="ar_AE"/>
        </w:rPr>
        <w:t>).</w:t>
      </w:r>
    </w:p>
    <w:p>
      <w:pPr>
        <w:bidi/>
      </w:pPr>
      <w:r>
        <w:rPr>
          <w:lang w:val="ar_AE" w:bidi="ar_AE"/>
        </w:rPr>
      </w:r>
      <w:r>
        <w:rPr>
          <w:lang w:val="ar_AE" w:bidi="ar_AE"/>
        </w:rPr>
        <w:t>كانت عَلاقة شاول بداود جيدة إلى حدٍّ ما في البداية بفضل مواهب داود الموسيقية (</w:t>
      </w:r>
      <w:hyperlink r:id="rId39">
        <w:r>
          <w:rPr>
            <w:lang w:val="ar_AE" w:bidi="ar_AE"/>
          </w:rPr>
          <w:rPr>
            <w:color w:val="0000EE"/>
            <w:u w:val="single"/>
          </w:rPr>
          <w:t>16:14–23</w:t>
        </w:r>
      </w:hyperlink>
      <w:r>
        <w:rPr>
          <w:lang w:val="ar_AE" w:bidi="ar_AE"/>
        </w:rPr>
        <w:t>). مع ذلك، فإن نجاح داود مع جليات (</w:t>
      </w:r>
      <w:hyperlink r:id="rId40">
        <w:r>
          <w:rPr>
            <w:lang w:val="ar_AE" w:bidi="ar_AE"/>
          </w:rPr>
          <w:rPr>
            <w:color w:val="0000EE"/>
            <w:u w:val="single"/>
          </w:rPr>
          <w:t>17:1–58</w:t>
        </w:r>
      </w:hyperlink>
      <w:r>
        <w:rPr>
          <w:lang w:val="ar_AE" w:bidi="ar_AE"/>
        </w:rPr>
        <w:t>) جعل شاول يشعر بالغيرة (</w:t>
      </w:r>
      <w:hyperlink r:id="rId41">
        <w:r>
          <w:rPr>
            <w:lang w:val="ar_AE" w:bidi="ar_AE"/>
          </w:rPr>
          <w:rPr>
            <w:color w:val="0000EE"/>
            <w:u w:val="single"/>
          </w:rPr>
          <w:t>18:6–16</w:t>
        </w:r>
      </w:hyperlink>
      <w:r>
        <w:rPr>
          <w:lang w:val="ar_AE" w:bidi="ar_AE"/>
        </w:rPr>
        <w:t>) وحاول شاول القضاء على التهديد الذي يمثله داود على مُلْكِه. أَدخَل داود إلى عائلته عن طريق الزواج لتوفير فرص أكبر لقتله (</w:t>
      </w:r>
      <w:hyperlink r:id="rId42">
        <w:r>
          <w:rPr>
            <w:lang w:val="ar_AE" w:bidi="ar_AE"/>
          </w:rPr>
          <w:rPr>
            <w:color w:val="0000EE"/>
            <w:u w:val="single"/>
          </w:rPr>
          <w:t>18:17–29</w:t>
        </w:r>
      </w:hyperlink>
      <w:r>
        <w:rPr>
          <w:lang w:val="ar_AE" w:bidi="ar_AE"/>
        </w:rPr>
        <w:t>). هاجم داود قاصدًا (</w:t>
      </w:r>
      <w:hyperlink r:id="rId43">
        <w:r>
          <w:rPr>
            <w:lang w:val="ar_AE" w:bidi="ar_AE"/>
          </w:rPr>
          <w:rPr>
            <w:color w:val="0000EE"/>
            <w:u w:val="single"/>
          </w:rPr>
          <w:t>19:1–10</w:t>
        </w:r>
      </w:hyperlink>
      <w:r>
        <w:rPr>
          <w:lang w:val="ar_AE" w:bidi="ar_AE"/>
        </w:rPr>
        <w:t xml:space="preserve">) وأعدم أي شخص يأوي داود (الإصحاحان </w:t>
      </w:r>
      <w:hyperlink r:id="rId44">
        <w:r>
          <w:rPr>
            <w:lang w:val="ar_AE" w:bidi="ar_AE"/>
          </w:rPr>
          <w:rPr>
            <w:color w:val="0000EE"/>
            <w:u w:val="single"/>
          </w:rPr>
          <w:t>21–22</w:t>
        </w:r>
      </w:hyperlink>
      <w:r>
        <w:rPr>
          <w:lang w:val="ar_AE" w:bidi="ar_AE"/>
        </w:rPr>
        <w:t>). مع ذلك، فقد باءتْ جميع محاولات شاول للقضاء على داود بالفَشَل.</w:t>
      </w:r>
    </w:p>
    <w:p>
      <w:pPr>
        <w:bidi/>
      </w:pPr>
      <w:r>
        <w:rPr>
          <w:lang w:val="ar_AE" w:bidi="ar_AE"/>
        </w:rPr>
      </w:r>
      <w:r>
        <w:rPr>
          <w:lang w:val="ar_AE" w:bidi="ar_AE"/>
        </w:rPr>
        <w:t>قُتل كلًا من شاول ويوناثان في المعركة ضد الفلسطينيين (</w:t>
      </w:r>
      <w:hyperlink r:id="rId45">
        <w:r>
          <w:rPr>
            <w:lang w:val="ar_AE" w:bidi="ar_AE"/>
          </w:rPr>
          <w:rPr>
            <w:color w:val="0000EE"/>
            <w:u w:val="single"/>
          </w:rPr>
          <w:t>31:1–6</w:t>
        </w:r>
      </w:hyperlink>
      <w:r>
        <w:rPr>
          <w:lang w:val="ar_AE" w:bidi="ar_AE"/>
        </w:rPr>
        <w:t xml:space="preserve">). مهَّد ذلك الطريق لداود ليبدأ حُكمه، مع أنه واجه صعوبات إضافية (انظر </w:t>
      </w:r>
      <w:hyperlink r:id="rId46">
        <w:r>
          <w:rPr>
            <w:lang w:val="ar_AE" w:bidi="ar_AE"/>
          </w:rPr>
          <w:rPr>
            <w:color w:val="0000EE"/>
            <w:u w:val="single"/>
          </w:rPr>
          <w:t>2 صم 1:1–5:5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hyperlink r:id="rId47">
        <w:r>
          <w:rPr>
            <w:lang w:val="ar_AE" w:bidi="ar_AE"/>
          </w:rPr>
          <w:rPr>
            <w:color w:val="0000EE"/>
            <w:u w:val="single"/>
          </w:rPr>
          <w:t>1 صموئيل 25:1</w:t>
        </w:r>
      </w:hyperlink>
      <w:r>
        <w:rPr>
          <w:lang w:val="ar_AE" w:bidi="ar_AE"/>
        </w:rPr>
        <w:t>. لم يُعرَف المُحرِّر النهائي لـ 1 صموئيل أبدًا.</w:t>
      </w:r>
    </w:p>
    <w:p>
      <w:pPr>
        <w:pStyle w:val="Heading2"/>
        <w:bidi/>
      </w:pPr>
      <w:r>
        <w:rPr>
          <w:lang w:val="ar_AE" w:bidi="ar_AE"/>
        </w:rPr>
        <w:t xml:space="preserve"> كتابة السِفر</w:t>
      </w:r>
    </w:p>
    <w:p>
      <w:pPr>
        <w:bidi/>
      </w:pPr>
      <w:r>
        <w:rPr>
          <w:lang w:val="ar_AE" w:bidi="ar_AE"/>
        </w:rPr>
      </w:r>
      <w:r>
        <w:rPr>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lang w:val="ar_AE" w:bidi="ar_AE"/>
        </w:rPr>
      </w:r>
      <w:r>
        <w:rPr>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hyperlink r:id="rId48">
        <w:r>
          <w:rPr>
            <w:lang w:val="ar_AE" w:bidi="ar_AE"/>
          </w:rPr>
          <w:rPr>
            <w:color w:val="0000EE"/>
            <w:u w:val="single"/>
          </w:rPr>
          <w:t>1 أخبار الأيام 29:29</w:t>
        </w:r>
      </w:hyperlink>
      <w:r>
        <w:rPr>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lang w:val="ar_AE" w:bidi="ar_AE"/>
        </w:rPr>
      </w:r>
      <w:r>
        <w:rPr>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lang w:val="ar_AE" w:bidi="ar_AE"/>
        </w:rPr>
        <w:t>المخطوطات</w:t>
      </w:r>
    </w:p>
    <w:p>
      <w:pPr>
        <w:bidi/>
      </w:pPr>
      <w:r>
        <w:rPr>
          <w:lang w:val="ar_AE" w:bidi="ar_AE"/>
        </w:rPr>
      </w:r>
      <w:r>
        <w:rPr>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lang w:val="ar_AE" w:bidi="ar_AE"/>
        </w:rPr>
        <w:t>المعنى والرسالة</w:t>
      </w:r>
    </w:p>
    <w:p>
      <w:pPr>
        <w:bidi/>
      </w:pPr>
      <w:r>
        <w:rPr>
          <w:lang w:val="ar_AE" w:bidi="ar_AE"/>
        </w:rPr>
      </w:r>
      <w:r>
        <w:rPr>
          <w:lang w:val="ar_AE" w:bidi="ar_AE"/>
        </w:rPr>
        <w:t xml:space="preserve">يظهر التركيز على المَلَكية في 1 صموئيل أوَّل مرة في صلاة حَنّة (انظر </w:t>
      </w:r>
      <w:hyperlink r:id="rId49">
        <w:r>
          <w:rPr>
            <w:lang w:val="ar_AE" w:bidi="ar_AE"/>
          </w:rPr>
          <w:rPr>
            <w:color w:val="0000EE"/>
            <w:u w:val="single"/>
          </w:rPr>
          <w:t>2:10</w:t>
        </w:r>
      </w:hyperlink>
      <w:r>
        <w:rPr>
          <w:lang w:val="ar_AE" w:bidi="ar_AE"/>
        </w:rPr>
        <w:t>). كانت فكرة أن يكون لإسرائيل ملِك فكرة قديمة بقِدَم وعد الله لإبراهيم وسارة (</w:t>
      </w:r>
      <w:hyperlink r:id="rId50">
        <w:r>
          <w:rPr>
            <w:lang w:val="ar_AE" w:bidi="ar_AE"/>
          </w:rPr>
          <w:rPr>
            <w:color w:val="0000EE"/>
            <w:u w:val="single"/>
          </w:rPr>
          <w:t>تكوين 17:6،</w:t>
        </w:r>
      </w:hyperlink>
      <w:r>
        <w:rPr>
          <w:lang w:val="ar_AE" w:bidi="ar_AE"/>
        </w:rPr>
        <w:t xml:space="preserve"> </w:t>
      </w:r>
      <w:hyperlink r:id="rId51">
        <w:r>
          <w:rPr>
            <w:lang w:val="ar_AE" w:bidi="ar_AE"/>
          </w:rPr>
          <w:rPr>
            <w:color w:val="0000EE"/>
            <w:u w:val="single"/>
          </w:rPr>
          <w:t>16</w:t>
        </w:r>
      </w:hyperlink>
      <w:r>
        <w:rPr>
          <w:lang w:val="ar_AE" w:bidi="ar_AE"/>
        </w:rPr>
        <w:t xml:space="preserve">). لم يفرض الله الملكية ولم يمنعها، بل أوضح فقط التجاوزات التي يجب أن يمتنع عنها ملوك إسرائيل (انظر </w:t>
      </w:r>
      <w:hyperlink r:id="rId13">
        <w:r>
          <w:rPr>
            <w:lang w:val="ar_AE" w:bidi="ar_AE"/>
          </w:rPr>
          <w:rPr>
            <w:color w:val="0000EE"/>
            <w:u w:val="single"/>
          </w:rPr>
          <w:t>تثنية 17:14–20</w:t>
        </w:r>
      </w:hyperlink>
      <w:r>
        <w:rPr>
          <w:lang w:val="ar_AE" w:bidi="ar_AE"/>
        </w:rPr>
        <w:t>).</w:t>
      </w:r>
    </w:p>
    <w:p>
      <w:pPr>
        <w:bidi/>
      </w:pPr>
      <w:r>
        <w:rPr>
          <w:lang w:val="ar_AE" w:bidi="ar_AE"/>
        </w:rPr>
      </w:r>
      <w:r>
        <w:rPr>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hyperlink r:id="rId17">
        <w:r>
          <w:rPr>
            <w:lang w:val="ar_AE" w:bidi="ar_AE"/>
          </w:rPr>
          <w:rPr>
            <w:color w:val="0000EE"/>
            <w:u w:val="single"/>
          </w:rPr>
          <w:t>قضاة 17–21</w:t>
        </w:r>
      </w:hyperlink>
      <w:r>
        <w:rPr>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lang w:val="ar_AE" w:bidi="ar_AE"/>
        </w:rPr>
      </w:r>
      <w:r>
        <w:rPr>
          <w:lang w:val="ar_AE" w:bidi="ar_AE"/>
        </w:rPr>
        <w:t>إذا كانت مسؤولية الملِك إدارة العهد (</w:t>
      </w:r>
      <w:hyperlink r:id="rId16">
        <w:r>
          <w:rPr>
            <w:lang w:val="ar_AE" w:bidi="ar_AE"/>
          </w:rPr>
          <w:rPr>
            <w:color w:val="0000EE"/>
            <w:u w:val="single"/>
          </w:rPr>
          <w:t>تثنية 17:18–20</w:t>
        </w:r>
      </w:hyperlink>
      <w:r>
        <w:rPr>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hyperlink r:id="rId52">
        <w:r>
          <w:rPr>
            <w:lang w:val="ar_AE" w:bidi="ar_AE"/>
          </w:rPr>
          <w:rPr>
            <w:color w:val="0000EE"/>
            <w:u w:val="single"/>
          </w:rPr>
          <w:t>1 صموئيل 10:1</w:t>
        </w:r>
      </w:hyperlink>
      <w:r>
        <w:rPr>
          <w:lang w:val="ar_AE" w:bidi="ar_AE"/>
        </w:rPr>
        <w:t xml:space="preserve">؛ </w:t>
      </w:r>
      <w:hyperlink r:id="rId53">
        <w:r>
          <w:rPr>
            <w:lang w:val="ar_AE" w:bidi="ar_AE"/>
          </w:rPr>
          <w:rPr>
            <w:color w:val="0000EE"/>
            <w:u w:val="single"/>
          </w:rPr>
          <w:t>16:13</w:t>
        </w:r>
      </w:hyperlink>
      <w:r>
        <w:rPr>
          <w:lang w:val="ar_AE" w:bidi="ar_AE"/>
        </w:rPr>
        <w:t>)، بل كان عليه أيضًا توبيخ الملِك عندما تجاوز الحدود العهدية (</w:t>
      </w:r>
      <w:hyperlink r:id="rId54">
        <w:r>
          <w:rPr>
            <w:lang w:val="ar_AE" w:bidi="ar_AE"/>
          </w:rPr>
          <w:rPr>
            <w:color w:val="0000EE"/>
            <w:u w:val="single"/>
          </w:rPr>
          <w:t>13:8–15</w:t>
        </w:r>
      </w:hyperlink>
      <w:r>
        <w:rPr>
          <w:lang w:val="ar_AE" w:bidi="ar_AE"/>
        </w:rPr>
        <w:t xml:space="preserve">؛ </w:t>
      </w:r>
      <w:hyperlink r:id="rId55">
        <w:r>
          <w:rPr>
            <w:lang w:val="ar_AE" w:bidi="ar_AE"/>
          </w:rPr>
          <w:rPr>
            <w:color w:val="0000EE"/>
            <w:u w:val="single"/>
          </w:rPr>
          <w:t>15:10–33</w:t>
        </w:r>
      </w:hyperlink>
      <w:r>
        <w:rPr>
          <w:lang w:val="ar_AE" w:bidi="ar_AE"/>
        </w:rPr>
        <w:t>).</w:t>
      </w:r>
    </w:p>
    <w:p>
      <w:pPr>
        <w:bidi/>
      </w:pPr>
      <w:r>
        <w:rPr>
          <w:lang w:val="ar_AE" w:bidi="ar_AE"/>
        </w:rPr>
      </w:r>
      <w:r>
        <w:rPr>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lang w:val="ar_AE" w:bidi="ar_AE"/>
        </w:rPr>
      </w:r>
      <w:r>
        <w:rPr>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hyperlink r:id="rId56">
        <w:r>
          <w:rPr>
            <w:lang w:val="ar_AE" w:bidi="ar_AE"/>
          </w:rPr>
          <w:rPr>
            <w:color w:val="0000EE"/>
            <w:u w:val="single"/>
          </w:rPr>
          <w:t>1</w:t>
        </w:r>
      </w:hyperlink>
      <w:r>
        <w:rPr>
          <w:lang w:val="ar_AE" w:bidi="ar_AE"/>
        </w:rPr>
        <w:t xml:space="preserve">)؛ (2) أصبح انتصار الفلسطينيين المدمر هزيمة لهم دون تدخُّل بشري (الإصحاحات </w:t>
      </w:r>
      <w:hyperlink r:id="rId57">
        <w:r>
          <w:rPr>
            <w:lang w:val="ar_AE" w:bidi="ar_AE"/>
          </w:rPr>
          <w:rPr>
            <w:color w:val="0000EE"/>
            <w:u w:val="single"/>
          </w:rPr>
          <w:t>4–6</w:t>
        </w:r>
      </w:hyperlink>
      <w:r>
        <w:rPr>
          <w:lang w:val="ar_AE" w:bidi="ar_AE"/>
        </w:rPr>
        <w:t xml:space="preserve">)؛ (3) أصبح الملِك الذي طلبه الشعب مسيح الله (الإصحاحات </w:t>
      </w:r>
      <w:hyperlink r:id="rId58">
        <w:r>
          <w:rPr>
            <w:lang w:val="ar_AE" w:bidi="ar_AE"/>
          </w:rPr>
          <w:rPr>
            <w:color w:val="0000EE"/>
            <w:u w:val="single"/>
          </w:rPr>
          <w:t>8–10</w:t>
        </w:r>
      </w:hyperlink>
      <w:r>
        <w:rPr>
          <w:lang w:val="ar_AE" w:bidi="ar_AE"/>
        </w:rPr>
        <w:t xml:space="preserve">)؛ (4) رُفِضَ هذا الملِك من قِبَل الله بسبب عدم إخلاصه (الإصحاحان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xml:space="preserve">)؛ و(5) اختير الابن الثامن لعائلة مجهولة، رجلًا حسب قلب الله، ملكًا مستقبليًا لإسرائيل (الإصحاح </w:t>
      </w:r>
      <w:hyperlink r:id="rId59">
        <w:r>
          <w:rPr>
            <w:lang w:val="ar_AE" w:bidi="ar_AE"/>
          </w:rPr>
          <w:rPr>
            <w:color w:val="0000EE"/>
            <w:u w:val="single"/>
          </w:rPr>
          <w:t>16</w:t>
        </w:r>
      </w:hyperlink>
      <w:r>
        <w:rPr>
          <w:lang w:val="ar_AE" w:bidi="ar_AE"/>
        </w:rPr>
        <w:t>).</w:t>
      </w:r>
    </w:p>
    <w:p>
      <w:pPr>
        <w:bidi/>
      </w:pPr>
      <w:r>
        <w:rPr>
          <w:lang w:val="ar_AE" w:bidi="ar_AE"/>
        </w:rPr>
      </w:r>
      <w:r>
        <w:rPr>
          <w:lang w:val="ar_AE" w:bidi="ar_AE"/>
        </w:rPr>
        <w:t>بخلاف حُكم شاول، استمر مُلك داود على إسرائيل وأصبح أحد حفدته لاحقًا الملِك المُتسلِّط على العالَم بأسره. يسوع هو الوارث النهائي لعرش داود (</w:t>
      </w:r>
      <w:hyperlink r:id="rId60">
        <w:r>
          <w:rPr>
            <w:lang w:val="ar_AE" w:bidi="ar_AE"/>
          </w:rPr>
          <w:rPr>
            <w:color w:val="0000EE"/>
            <w:u w:val="single"/>
          </w:rPr>
          <w:t>يوحنّا 7:42؛</w:t>
        </w:r>
      </w:hyperlink>
      <w:r>
        <w:rPr>
          <w:lang w:val="ar_AE" w:bidi="ar_AE"/>
        </w:rPr>
        <w:t xml:space="preserve"> </w:t>
      </w:r>
      <w:hyperlink r:id="rId61">
        <w:r>
          <w:rPr>
            <w:lang w:val="ar_AE" w:bidi="ar_AE"/>
          </w:rPr>
          <w:rPr>
            <w:color w:val="0000EE"/>
            <w:u w:val="single"/>
          </w:rPr>
          <w:t>رؤيا 5:5؛</w:t>
        </w:r>
      </w:hyperlink>
      <w:r>
        <w:rPr>
          <w:lang w:val="ar_AE" w:bidi="ar_AE"/>
        </w:rPr>
        <w:t xml:space="preserve"> </w:t>
      </w:r>
      <w:hyperlink r:id="rId62">
        <w:r>
          <w:rPr>
            <w:lang w:val="ar_AE" w:bidi="ar_AE"/>
          </w:rPr>
          <w:rPr>
            <w:color w:val="0000EE"/>
            <w:u w:val="single"/>
          </w:rPr>
          <w:t>11:15</w:t>
        </w:r>
      </w:hyperlink>
      <w:r>
        <w:rPr>
          <w:lang w:val="ar_AE" w:bidi="ar_AE"/>
        </w:rPr>
        <w:t>). إنه يواصل فضائل أسلافه دون أن يُظهر عيوبهم أبدًا. يسوع هو الراعي والملِك المثالي والأبدي للعالَم.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