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Song of Songs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Song of Songs</w:t>
      </w:r>
      <w:r>
        <w:rPr>
          <w:lang w:val="ar_AE" w:bidi="ar_AE"/>
        </w:rPr>
      </w:r>
    </w:p>
    <w:p>
      <w:pPr>
        <w:bidi/>
      </w:pPr>
      <w:r>
        <w:rPr>
          <w:lang w:val="ar_AE" w:bidi="ar_AE"/>
        </w:rPr>
      </w:r>
      <w:r>
        <w:rPr>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lang w:val="ar_AE" w:bidi="ar_AE"/>
        </w:rPr>
        <w:t>الإطار الأدبي</w:t>
      </w:r>
    </w:p>
    <w:p>
      <w:pPr>
        <w:bidi/>
      </w:pPr>
      <w:r>
        <w:rPr>
          <w:lang w:val="ar_AE" w:bidi="ar_AE"/>
        </w:rPr>
      </w:r>
      <w:r>
        <w:rPr>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lang w:val="ar_AE" w:bidi="ar_AE"/>
        </w:rPr>
      </w:r>
      <w:r>
        <w:rPr>
          <w:lang w:val="ar_AE" w:bidi="ar_AE"/>
        </w:rPr>
        <w:t>يُنسَب سفر نشيد الأنشاد إلى سليمان، ابن داوود وثالث ملوك إسرائيل (انظر "</w:t>
      </w:r>
      <w:r>
        <w:rPr>
          <w:lang w:val="ar_AE" w:bidi="ar_AE"/>
        </w:rPr>
        <w:t>الكاتب "المؤلفانية"</w:t>
      </w:r>
      <w:r>
        <w:rPr>
          <w:lang w:val="ar_AE" w:bidi="ar_AE"/>
        </w:rPr>
        <w:t xml:space="preserve">" أدناه؛ انظر أيضًا </w:t>
      </w:r>
      <w:r>
        <w:rPr>
          <w:lang w:val="ar_AE" w:bidi="ar_AE"/>
        </w:rPr>
        <w:t>1: 1</w:t>
      </w:r>
      <w:r>
        <w:rPr>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lang w:val="ar_AE" w:bidi="ar_AE"/>
        </w:rPr>
        <w:t>الكاتب</w:t>
      </w:r>
    </w:p>
    <w:p>
      <w:pPr>
        <w:bidi/>
      </w:pPr>
      <w:r>
        <w:rPr>
          <w:lang w:val="ar_AE" w:bidi="ar_AE"/>
        </w:rPr>
      </w:r>
      <w:r>
        <w:rPr>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lang w:val="ar_AE" w:bidi="ar_AE"/>
        </w:rPr>
      </w:r>
      <w:r>
        <w:rPr>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lang w:val="ar_AE" w:bidi="ar_AE"/>
        </w:rPr>
      </w:r>
      <w:r>
        <w:rPr>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lang w:val="ar_AE" w:bidi="ar_AE"/>
        </w:rPr>
        <w:t>1 ملوك 11: 1–13</w:t>
      </w:r>
      <w:r>
        <w:rPr>
          <w:lang w:val="ar_AE" w:bidi="ar_AE"/>
        </w:rPr>
        <w:t xml:space="preserve">). في الحقيقة، الشاهد الوحيد الإيجابي عن سليمان في السفر نقرأه في </w:t>
      </w:r>
      <w:r>
        <w:rPr>
          <w:lang w:val="ar_AE" w:bidi="ar_AE"/>
        </w:rPr>
        <w:t>3: 6–11</w:t>
      </w:r>
      <w:r>
        <w:rPr>
          <w:lang w:val="ar_AE" w:bidi="ar_AE"/>
        </w:rPr>
        <w:t xml:space="preserve">؛ أما السلبي نقرأه في </w:t>
      </w:r>
      <w:r>
        <w:rPr>
          <w:lang w:val="ar_AE" w:bidi="ar_AE"/>
        </w:rPr>
        <w:t>8: 11–12</w:t>
      </w:r>
      <w:r>
        <w:rPr>
          <w:lang w:val="ar_AE" w:bidi="ar_AE"/>
        </w:rPr>
        <w:t xml:space="preserve">، وفي </w:t>
      </w:r>
      <w:r>
        <w:rPr>
          <w:lang w:val="ar_AE" w:bidi="ar_AE"/>
        </w:rPr>
        <w:t>1: 5</w:t>
      </w:r>
      <w:r>
        <w:rPr>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lang w:val="ar_AE" w:bidi="ar_AE"/>
        </w:rPr>
        <w:t>تفسير سفر أناشيد الأنشاد</w:t>
      </w:r>
    </w:p>
    <w:p>
      <w:pPr>
        <w:bidi/>
      </w:pPr>
      <w:r>
        <w:rPr>
          <w:lang w:val="ar_AE" w:bidi="ar_AE"/>
        </w:rPr>
      </w:r>
      <w:r>
        <w:rPr>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lang w:val="ar_AE" w:bidi="ar_AE"/>
        </w:rPr>
      </w:r>
      <w:r>
        <w:rPr>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lang w:val="ar_AE" w:bidi="ar_AE"/>
        </w:rPr>
      </w:r>
      <w:r>
        <w:rPr>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lang w:val="ar_AE" w:bidi="ar_AE"/>
        </w:rPr>
      </w:r>
      <w:r>
        <w:rPr>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lang w:val="ar_AE" w:bidi="ar_AE"/>
        </w:rPr>
      </w:r>
      <w:r>
        <w:rPr>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lang w:val="ar_AE" w:bidi="ar_AE"/>
        </w:rPr>
      </w:r>
      <w:r>
        <w:rPr>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lang w:val="ar_AE" w:bidi="ar_AE"/>
        </w:rPr>
      </w:r>
      <w:r>
        <w:rPr>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lang w:val="ar_AE" w:bidi="ar_AE"/>
        </w:rPr>
      </w:r>
      <w:r>
        <w:rPr>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lang w:val="ar_AE" w:bidi="ar_AE"/>
        </w:rPr>
      </w:r>
      <w:r>
        <w:rPr>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lang w:val="ar_AE" w:bidi="ar_AE"/>
        </w:rPr>
      </w:r>
      <w:r>
        <w:rPr>
          <w:lang w:val="ar_AE" w:bidi="ar_AE"/>
        </w:rPr>
        <w:t>فإن كان ثمة امرأة مفضلة لدى سليمان، يفترض الكتاب المقدس إنها كانت ابنة فرعون التي تزوجها مبكرًا (</w:t>
      </w:r>
      <w:r>
        <w:rPr>
          <w:lang w:val="ar_AE" w:bidi="ar_AE"/>
        </w:rPr>
        <w:t>1 ملوك 3: 1</w:t>
      </w:r>
      <w:r>
        <w:rPr>
          <w:lang w:val="ar_AE" w:bidi="ar_AE"/>
        </w:rPr>
        <w:t xml:space="preserve">؛ </w:t>
      </w:r>
      <w:r>
        <w:rPr>
          <w:lang w:val="ar_AE" w:bidi="ar_AE"/>
        </w:rPr>
        <w:t>7: 8</w:t>
      </w:r>
      <w:r>
        <w:rPr>
          <w:lang w:val="ar_AE" w:bidi="ar_AE"/>
        </w:rPr>
        <w:t xml:space="preserve">؛ </w:t>
      </w:r>
      <w:r>
        <w:rPr>
          <w:lang w:val="ar_AE" w:bidi="ar_AE"/>
        </w:rPr>
        <w:t>9: 24</w:t>
      </w:r>
      <w:r>
        <w:rPr>
          <w:lang w:val="ar_AE" w:bidi="ar_AE"/>
        </w:rPr>
        <w:t xml:space="preserve">؛ </w:t>
      </w:r>
      <w:r>
        <w:rPr>
          <w:lang w:val="ar_AE" w:bidi="ar_AE"/>
        </w:rPr>
        <w:t>11: 1</w:t>
      </w:r>
      <w:r>
        <w:rPr>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lang w:val="ar_AE" w:bidi="ar_AE"/>
        </w:rPr>
        <w:t>6: 8</w:t>
      </w:r>
      <w:r>
        <w:rPr>
          <w:lang w:val="ar_AE" w:bidi="ar_AE"/>
        </w:rPr>
        <w:t>. بعبارة أخرى، إن كان هذا الغزل بين سليمان والمرأة غزل صادق، فلماذا ملأ سليمان حرملك قصره بنساء أخريات؟</w:t>
      </w:r>
    </w:p>
    <w:p>
      <w:pPr>
        <w:bidi/>
      </w:pPr>
      <w:r>
        <w:rPr>
          <w:lang w:val="ar_AE" w:bidi="ar_AE"/>
        </w:rPr>
      </w:r>
      <w:r>
        <w:rPr>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lang w:val="ar_AE" w:bidi="ar_AE"/>
        </w:rPr>
        <w:t>8: 11–12</w:t>
      </w:r>
      <w:r>
        <w:rPr>
          <w:lang w:val="ar_AE" w:bidi="ar_AE"/>
        </w:rPr>
        <w:t>). فهي غير قادرة على دفع مديونتها لأن أخاها أجبرها على العمل في كروم الملك لا في كرومها (</w:t>
      </w:r>
      <w:r>
        <w:rPr>
          <w:lang w:val="ar_AE" w:bidi="ar_AE"/>
        </w:rPr>
        <w:t>1: 6</w:t>
      </w:r>
      <w:r>
        <w:rPr>
          <w:lang w:val="ar_AE" w:bidi="ar_AE"/>
        </w:rPr>
        <w:t>). لذا بالرغم من أنها قريبة المكانة جدًا ومن المحتمل قرب حميمي للملك في مدينة القصر (</w:t>
      </w:r>
      <w:r>
        <w:rPr>
          <w:lang w:val="ar_AE" w:bidi="ar_AE"/>
        </w:rPr>
        <w:t>1: 12</w:t>
      </w:r>
      <w:r>
        <w:rPr>
          <w:lang w:val="ar_AE" w:bidi="ar_AE"/>
        </w:rPr>
        <w:t>)، فغرام عقلها مأخوذ بعشقها للراعي العامي في الريف (</w:t>
      </w:r>
      <w:r>
        <w:rPr>
          <w:lang w:val="ar_AE" w:bidi="ar_AE"/>
        </w:rPr>
        <w:t>1: 7</w:t>
      </w:r>
      <w:r>
        <w:rPr>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lang w:val="ar_AE" w:bidi="ar_AE"/>
        </w:rPr>
        <w:t>8: 12–14</w:t>
      </w:r>
      <w:r>
        <w:rPr>
          <w:lang w:val="ar_AE" w:bidi="ar_AE"/>
        </w:rPr>
        <w:t>).</w:t>
      </w:r>
    </w:p>
    <w:p>
      <w:pPr>
        <w:bidi/>
      </w:pPr>
      <w:r>
        <w:rPr>
          <w:lang w:val="ar_AE" w:bidi="ar_AE"/>
        </w:rPr>
      </w:r>
      <w:r>
        <w:rPr>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lang w:val="ar_AE" w:bidi="ar_AE"/>
        </w:rPr>
      </w:r>
      <w:r>
        <w:rPr>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lang w:val="ar_AE" w:bidi="ar_AE"/>
        </w:rPr>
      </w:r>
      <w:r>
        <w:rPr>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lang w:val="ar_AE" w:bidi="ar_AE"/>
        </w:rPr>
      </w:r>
      <w:r>
        <w:rPr>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lang w:val="ar_AE" w:bidi="ar_AE"/>
        </w:rPr>
        <w:t>الزواج في سفر نشيد الأنشاد</w:t>
      </w:r>
    </w:p>
    <w:p>
      <w:pPr>
        <w:bidi/>
      </w:pPr>
      <w:r>
        <w:rPr>
          <w:lang w:val="ar_AE" w:bidi="ar_AE"/>
        </w:rPr>
      </w:r>
      <w:r>
        <w:rPr>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lang w:val="ar_AE" w:bidi="ar_AE"/>
        </w:rPr>
        <w:t>4: 8–12</w:t>
      </w:r>
      <w:r>
        <w:rPr>
          <w:lang w:val="ar_AE" w:bidi="ar_AE"/>
        </w:rPr>
        <w:t>).</w:t>
      </w:r>
    </w:p>
    <w:p>
      <w:pPr>
        <w:bidi/>
      </w:pPr>
      <w:r>
        <w:rPr>
          <w:lang w:val="ar_AE" w:bidi="ar_AE"/>
        </w:rPr>
      </w:r>
      <w:r>
        <w:rPr>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lang w:val="ar_AE" w:bidi="ar_AE"/>
        </w:rPr>
        <w:t>تكوين 39</w:t>
      </w:r>
      <w:r>
        <w:rPr>
          <w:lang w:val="ar_AE" w:bidi="ar_AE"/>
        </w:rPr>
        <w:t xml:space="preserve">)، والناموس (انظر </w:t>
      </w:r>
      <w:r>
        <w:rPr>
          <w:lang w:val="ar_AE" w:bidi="ar_AE"/>
        </w:rPr>
        <w:t>خروج 20: 14</w:t>
      </w:r>
      <w:r>
        <w:rPr>
          <w:lang w:val="ar_AE" w:bidi="ar_AE"/>
        </w:rPr>
        <w:t xml:space="preserve">)، وأسفار الحكمة (انظر </w:t>
      </w:r>
      <w:r>
        <w:rPr>
          <w:lang w:val="ar_AE" w:bidi="ar_AE"/>
        </w:rPr>
        <w:t>أمثال 5–7</w:t>
      </w:r>
      <w:r>
        <w:rPr>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lang w:val="ar_AE" w:bidi="ar_AE"/>
        </w:rPr>
        <w:t>المعنى والرسالة</w:t>
      </w:r>
    </w:p>
    <w:p>
      <w:pPr>
        <w:bidi/>
      </w:pPr>
      <w:r>
        <w:rPr>
          <w:lang w:val="ar_AE" w:bidi="ar_AE"/>
        </w:rPr>
      </w:r>
      <w:r>
        <w:rPr>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lang w:val="ar_AE" w:bidi="ar_AE"/>
        </w:rPr>
      </w:r>
      <w:r>
        <w:rPr>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lang w:val="ar_AE" w:bidi="ar_AE"/>
        </w:rPr>
      </w:r>
      <w:r>
        <w:rPr>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