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i/>
          <w:lang w:val="fr_FR" w:bidi="fr_FR"/>
        </w:rPr>
        <w:t>Josué</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2"/>
      </w:pPr>
      <w:r>
        <w:rPr>
          <w:lang w:val="fr_FR" w:bidi="fr_FR"/>
        </w:rPr>
        <w:t>Contexte</w:t>
      </w:r>
    </w:p>
    <w:p>
      <w:pPr/>
      <w:r>
        <w:rPr>
          <w:lang w:val="fr_FR" w:bidi="fr_FR"/>
        </w:rPr>
      </w:r>
      <w:r>
        <w:rPr>
          <w:lang w:val="fr_FR" w:bidi="fr_FR"/>
        </w:rP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pPr/>
      <w:r>
        <w:rPr>
          <w:lang w:val="fr_FR" w:bidi="fr_FR"/>
        </w:rPr>
      </w:r>
      <w:r>
        <w:rPr>
          <w:lang w:val="fr_FR" w:bidi="fr_FR"/>
        </w:rP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pPr/>
      <w:r>
        <w:rPr>
          <w:lang w:val="fr_FR" w:bidi="fr_FR"/>
        </w:rPr>
      </w:r>
      <w:r>
        <w:rPr>
          <w:lang w:val="fr_FR" w:bidi="fr_FR"/>
        </w:rP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2"/>
      </w:pPr>
      <w:r>
        <w:rPr>
          <w:lang w:val="fr_FR" w:bidi="fr_FR"/>
        </w:rPr>
        <w:t>Résumé</w:t>
      </w:r>
    </w:p>
    <w:p>
      <w:pPr/>
      <w:r>
        <w:rPr>
          <w:lang w:val="fr_FR" w:bidi="fr_FR"/>
        </w:rPr>
      </w:r>
      <w:r>
        <w:rPr>
          <w:lang w:val="fr_FR" w:bidi="fr_FR"/>
        </w:rPr>
        <w:t xml:space="preserve">La première moitié du livre de Josué (chapitres </w:t>
      </w:r>
      <w:hyperlink r:id="rId13">
        <w:r>
          <w:rPr>
            <w:lang w:val="fr_FR" w:bidi="fr_FR"/>
          </w:rPr>
          <w:rPr>
            <w:color w:val="0000EE"/>
            <w:u w:val="single"/>
          </w:rPr>
          <w:t>1–12</w:t>
        </w:r>
      </w:hyperlink>
      <w:r>
        <w:rPr>
          <w:lang w:val="fr_FR" w:bidi="fr_FR"/>
        </w:rP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hyperlink r:id="rId14">
        <w:r>
          <w:rPr>
            <w:lang w:val="fr_FR" w:bidi="fr_FR"/>
          </w:rPr>
          <w:rPr>
            <w:color w:val="0000EE"/>
            <w:u w:val="single"/>
          </w:rPr>
          <w:t>2</w:t>
        </w:r>
      </w:hyperlink>
      <w:r>
        <w:rPr>
          <w:lang w:val="fr_FR" w:bidi="fr_FR"/>
        </w:rPr>
        <w:t xml:space="preserve">). Les Israélites traversent ensuite le Jourdain, dont les eaux sont miraculeusement stoppées (chapitres </w:t>
      </w:r>
      <w:hyperlink r:id="rId15">
        <w:r>
          <w:rPr>
            <w:lang w:val="fr_FR" w:bidi="fr_FR"/>
          </w:rPr>
          <w:rPr>
            <w:color w:val="0000EE"/>
            <w:u w:val="single"/>
          </w:rPr>
          <w:t>3</w:t>
        </w:r>
      </w:hyperlink>
      <w:r>
        <w:rPr>
          <w:lang w:val="fr_FR" w:bidi="fr_FR"/>
        </w:rPr>
        <w:t xml:space="preserve">). Enfin, Dieu livre la ville de Jéricho à Israël en faisant s’effondrer ses murailles (chapitres </w:t>
      </w:r>
      <w:hyperlink r:id="rId16">
        <w:r>
          <w:rPr>
            <w:lang w:val="fr_FR" w:bidi="fr_FR"/>
          </w:rPr>
          <w:rPr>
            <w:color w:val="0000EE"/>
            <w:u w:val="single"/>
          </w:rPr>
          <w:t>6</w:t>
        </w:r>
      </w:hyperlink>
      <w:r>
        <w:rPr>
          <w:lang w:val="fr_FR" w:bidi="fr_FR"/>
        </w:rPr>
        <w:t>).</w:t>
      </w:r>
    </w:p>
    <w:p>
      <w:pPr/>
      <w:r>
        <w:rPr>
          <w:lang w:val="fr_FR" w:bidi="fr_FR"/>
        </w:rPr>
      </w:r>
      <w:r>
        <w:rPr>
          <w:lang w:val="fr_FR" w:bidi="fr_FR"/>
        </w:rPr>
        <w:t xml:space="preserve">La prise de Jéricho donne accès aux routes </w:t>
      </w:r>
      <w:r>
        <w:rPr>
          <w:lang w:val="fr_FR" w:bidi="fr_FR"/>
        </w:rPr>
        <w:t>qui montent vers l’ouest dans la région des collines.</w:t>
      </w:r>
      <w:r>
        <w:rPr>
          <w:lang w:val="fr_FR" w:bidi="fr_FR"/>
        </w:rPr>
        <w:t xml:space="preserve"> Cependant, un homme nommé Acan désobéit aux instructions de Dieu, déplaisant ainsi au Seigneur, et Israël subit un revers avant que le péché d’Acan ne soit découvert et jugé (chapitres </w:t>
      </w:r>
      <w:hyperlink r:id="rId17">
        <w:r>
          <w:rPr>
            <w:lang w:val="fr_FR" w:bidi="fr_FR"/>
          </w:rPr>
          <w:rPr>
            <w:color w:val="0000EE"/>
            <w:u w:val="single"/>
          </w:rPr>
          <w:t>7</w:t>
        </w:r>
      </w:hyperlink>
      <w:r>
        <w:rPr>
          <w:lang w:val="fr_FR" w:bidi="fr_FR"/>
        </w:rPr>
        <w:t xml:space="preserve">). Dieu accorde ensuite à Josué une victoire retentissante sur la coalition rapidement formée des cités-États cananéennes du sud ; Dieu exauce même la demande de Josué </w:t>
      </w:r>
      <w:r>
        <w:rPr>
          <w:lang w:val="fr_FR" w:bidi="fr_FR"/>
        </w:rPr>
        <w:t>qui souhaitait que le soleil et la lune s’arrêtent jusqu’à ce que la victoire soit complète</w:t>
      </w:r>
      <w:r>
        <w:rPr>
          <w:lang w:val="fr_FR" w:bidi="fr_FR"/>
        </w:rPr>
        <w:t xml:space="preserve"> (chapitres </w:t>
      </w:r>
      <w:hyperlink r:id="rId18">
        <w:r>
          <w:rPr>
            <w:lang w:val="fr_FR" w:bidi="fr_FR"/>
          </w:rPr>
          <w:rPr>
            <w:color w:val="0000EE"/>
            <w:u w:val="single"/>
          </w:rPr>
          <w:t>10</w:t>
        </w:r>
      </w:hyperlink>
      <w:r>
        <w:rPr>
          <w:lang w:val="fr_FR" w:bidi="fr_FR"/>
        </w:rPr>
        <w:t xml:space="preserve">). Josué se tourne ensuite vers le nord, où il remporte une victoire tout aussi décisive sur une coalition nordique de cités-États (chapitres </w:t>
      </w:r>
      <w:hyperlink r:id="rId19">
        <w:r>
          <w:rPr>
            <w:lang w:val="fr_FR" w:bidi="fr_FR"/>
          </w:rPr>
          <w:rPr>
            <w:color w:val="0000EE"/>
            <w:u w:val="single"/>
          </w:rPr>
          <w:t>11</w:t>
        </w:r>
      </w:hyperlink>
      <w:r>
        <w:rPr>
          <w:lang w:val="fr_FR" w:bidi="fr_FR"/>
        </w:rPr>
        <w:t>). Toute la région montagneuse, du Néguev au sud à la Haute Galilée au nord, est désormais ouverte à la colonisation israélite.</w:t>
      </w:r>
    </w:p>
    <w:p>
      <w:pPr/>
      <w:r>
        <w:rPr>
          <w:lang w:val="fr_FR" w:bidi="fr_FR"/>
        </w:rPr>
      </w:r>
      <w:r>
        <w:rPr>
          <w:lang w:val="fr_FR" w:bidi="fr_FR"/>
        </w:rPr>
        <w:t xml:space="preserve">La seconde moitié du livre de Josué (chapitres </w:t>
      </w:r>
      <w:hyperlink r:id="rId20">
        <w:r>
          <w:rPr>
            <w:lang w:val="fr_FR" w:bidi="fr_FR"/>
          </w:rPr>
          <w:rPr>
            <w:color w:val="0000EE"/>
            <w:u w:val="single"/>
          </w:rPr>
          <w:t>13–24</w:t>
        </w:r>
      </w:hyperlink>
      <w:r>
        <w:rPr>
          <w:lang w:val="fr_FR" w:bidi="fr_FR"/>
        </w:rPr>
        <w:t xml:space="preserve">) présente le récit détaillé de la répartition du territoire d’Israël, y compris des descriptions précises des territoires donnés à Juda, Benjamin et Joseph (chapitres </w:t>
      </w:r>
      <w:hyperlink r:id="rId21">
        <w:r>
          <w:rPr>
            <w:lang w:val="fr_FR" w:bidi="fr_FR"/>
          </w:rPr>
          <w:rPr>
            <w:color w:val="0000EE"/>
            <w:u w:val="single"/>
          </w:rPr>
          <w:t>15–19</w:t>
        </w:r>
      </w:hyperlink>
      <w:r>
        <w:rPr>
          <w:lang w:val="fr_FR" w:bidi="fr_FR"/>
        </w:rPr>
        <w:t xml:space="preserve">) ; ces tribus sont devenues les tribus centrales d’Israël. Les héritages de Caleb et de Josué ouvrent et ferment ces chapitres consacrées aux attributions territoriales (chapitres </w:t>
      </w:r>
      <w:hyperlink r:id="rId22">
        <w:r>
          <w:rPr>
            <w:lang w:val="fr_FR" w:bidi="fr_FR"/>
          </w:rPr>
          <w:rPr>
            <w:color w:val="0000EE"/>
            <w:u w:val="single"/>
          </w:rPr>
          <w:t>15</w:t>
        </w:r>
      </w:hyperlink>
      <w:r>
        <w:rPr>
          <w:lang w:val="fr_FR" w:bidi="fr_FR"/>
        </w:rPr>
        <w:t xml:space="preserve"> et </w:t>
      </w:r>
      <w:hyperlink r:id="rId23">
        <w:r>
          <w:rPr>
            <w:lang w:val="fr_FR" w:bidi="fr_FR"/>
          </w:rPr>
          <w:rPr>
            <w:color w:val="0000EE"/>
            <w:u w:val="single"/>
          </w:rPr>
          <w:t>19</w:t>
        </w:r>
      </w:hyperlink>
      <w:r>
        <w:rPr>
          <w:lang w:val="fr_FR" w:bidi="fr_FR"/>
        </w:rPr>
        <w:t xml:space="preserve">). La désignation de six villes refuge (chapitres </w:t>
      </w:r>
      <w:hyperlink r:id="rId24">
        <w:r>
          <w:rPr>
            <w:lang w:val="fr_FR" w:bidi="fr_FR"/>
          </w:rPr>
          <w:rPr>
            <w:color w:val="0000EE"/>
            <w:u w:val="single"/>
          </w:rPr>
          <w:t>20</w:t>
        </w:r>
      </w:hyperlink>
      <w:r>
        <w:rPr>
          <w:lang w:val="fr_FR" w:bidi="fr_FR"/>
        </w:rPr>
        <w:t xml:space="preserve">) et l’attribution de villes aux Lévites dans chaque territoire tribal (chapitres </w:t>
      </w:r>
      <w:hyperlink r:id="rId25">
        <w:r>
          <w:rPr>
            <w:lang w:val="fr_FR" w:bidi="fr_FR"/>
          </w:rPr>
          <w:rPr>
            <w:color w:val="0000EE"/>
            <w:u w:val="single"/>
          </w:rPr>
          <w:t>21</w:t>
        </w:r>
      </w:hyperlink>
      <w:r>
        <w:rPr>
          <w:lang w:val="fr_FR" w:bidi="fr_FR"/>
        </w:rP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hyperlink r:id="rId26">
        <w:r>
          <w:rPr>
            <w:lang w:val="fr_FR" w:bidi="fr_FR"/>
          </w:rPr>
          <w:rPr>
            <w:color w:val="0000EE"/>
            <w:u w:val="single"/>
          </w:rPr>
          <w:t>22</w:t>
        </w:r>
      </w:hyperlink>
      <w:r>
        <w:rPr>
          <w:lang w:val="fr_FR" w:bidi="fr_FR"/>
        </w:rPr>
        <w:t xml:space="preserve">). Le livre se termine par l’adieu de Josué (chapitres </w:t>
      </w:r>
      <w:hyperlink r:id="rId27">
        <w:r>
          <w:rPr>
            <w:lang w:val="fr_FR" w:bidi="fr_FR"/>
          </w:rPr>
          <w:rPr>
            <w:color w:val="0000EE"/>
            <w:u w:val="single"/>
          </w:rPr>
          <w:t>23</w:t>
        </w:r>
      </w:hyperlink>
      <w:r>
        <w:rPr>
          <w:lang w:val="fr_FR" w:bidi="fr_FR"/>
        </w:rPr>
        <w:t xml:space="preserve">), sa convocation du peuple pour renouveler leur alliance avec Dieu, et trois funérailles importantes (chapitres </w:t>
      </w:r>
      <w:hyperlink r:id="rId28">
        <w:r>
          <w:rPr>
            <w:lang w:val="fr_FR" w:bidi="fr_FR"/>
          </w:rPr>
          <w:rPr>
            <w:color w:val="0000EE"/>
            <w:u w:val="single"/>
          </w:rPr>
          <w:t>24</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livre de Josué ne revendique nulle part Josué comme son auteur. L’emploi répété de l’expression « jusqu’à ce jour », ainsi que la mention du </w:t>
      </w:r>
      <w:r>
        <w:rPr>
          <w:i/>
          <w:lang w:val="fr_FR" w:bidi="fr_FR"/>
        </w:rPr>
        <w:t>Livre du Juste</w:t>
      </w:r>
      <w:r>
        <w:rPr>
          <w:lang w:val="fr_FR" w:bidi="fr_FR"/>
        </w:rPr>
        <w:t xml:space="preserve"> (ou </w:t>
      </w:r>
      <w:r>
        <w:rPr>
          <w:i/>
          <w:lang w:val="fr_FR" w:bidi="fr_FR"/>
        </w:rPr>
        <w:t>Livre de Jasher</w:t>
      </w:r>
      <w:r>
        <w:rPr>
          <w:lang w:val="fr_FR" w:bidi="fr_FR"/>
        </w:rP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2"/>
      </w:pPr>
      <w:r>
        <w:rPr>
          <w:lang w:val="fr_FR" w:bidi="fr_FR"/>
        </w:rPr>
        <w:t>Josué et l’Histoire</w:t>
      </w:r>
    </w:p>
    <w:p>
      <w:pPr/>
      <w:r>
        <w:rPr>
          <w:lang w:val="fr_FR" w:bidi="fr_FR"/>
        </w:rPr>
      </w:r>
      <w:r>
        <w:rPr>
          <w:lang w:val="fr_FR" w:bidi="fr_FR"/>
        </w:rP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pPr/>
      <w:r>
        <w:rPr>
          <w:lang w:val="fr_FR" w:bidi="fr_FR"/>
        </w:rPr>
      </w:r>
      <w:r>
        <w:rPr>
          <w:lang w:val="fr_FR" w:bidi="fr_FR"/>
        </w:rP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pPr/>
      <w:r>
        <w:rPr>
          <w:lang w:val="fr_FR" w:bidi="fr_FR"/>
        </w:rPr>
      </w:r>
      <w:r>
        <w:rPr>
          <w:lang w:val="fr_FR" w:bidi="fr_FR"/>
        </w:rP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pPr/>
      <w:r>
        <w:rPr>
          <w:lang w:val="fr_FR" w:bidi="fr_FR"/>
        </w:rPr>
      </w:r>
      <w:r>
        <w:rPr>
          <w:lang w:val="fr_FR" w:bidi="fr_FR"/>
        </w:rP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hyperlink r:id="rId29">
        <w:r>
          <w:rPr>
            <w:lang w:val="fr_FR" w:bidi="fr_FR"/>
          </w:rPr>
          <w:rPr>
            <w:color w:val="0000EE"/>
            <w:u w:val="single"/>
          </w:rPr>
          <w:t>2S 5.6–8</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pPr/>
      <w:r>
        <w:rPr>
          <w:lang w:val="fr_FR" w:bidi="fr_FR"/>
        </w:rPr>
      </w:r>
      <w:r>
        <w:rPr>
          <w:lang w:val="fr_FR" w:bidi="fr_FR"/>
        </w:rP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pPr/>
      <w:r>
        <w:rPr>
          <w:lang w:val="fr_FR" w:bidi="fr_FR"/>
        </w:rPr>
      </w:r>
      <w:r>
        <w:rPr>
          <w:lang w:val="fr_FR" w:bidi="fr_FR"/>
        </w:rP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pPr/>
      <w:r>
        <w:rPr>
          <w:lang w:val="fr_FR" w:bidi="fr_FR"/>
        </w:rPr>
      </w:r>
      <w:r>
        <w:rPr>
          <w:lang w:val="fr_FR" w:bidi="fr_FR"/>
        </w:rP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pPr/>
      <w:r>
        <w:rPr>
          <w:lang w:val="fr_FR" w:bidi="fr_FR"/>
        </w:rPr>
      </w:r>
      <w:r>
        <w:rPr>
          <w:lang w:val="fr_FR" w:bidi="fr_FR"/>
        </w:rP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