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hyperlink r:id="rId13">
        <w:r>
          <w:rPr>
            <w:lang w:val="fr_FR" w:bidi="fr_FR"/>
          </w:rPr>
          <w:rPr>
            <w:color w:val="0000EE"/>
            <w:u w:val="single"/>
          </w:rPr>
          <w:t>Esd 1.1–11</w:t>
        </w:r>
      </w:hyperlink>
      <w:r>
        <w:rPr>
          <w:lang w:val="fr_FR" w:bidi="fr_FR"/>
        </w:rPr>
        <w:t>). Les premiers émigrants à retourner à Jérusalem sont conduits par Scheschbatsar, le premier dirigeant de la communauté restaurée (</w:t>
      </w:r>
      <w:hyperlink r:id="rId14">
        <w:r>
          <w:rPr>
            <w:lang w:val="fr_FR" w:bidi="fr_FR"/>
          </w:rPr>
          <w:rPr>
            <w:color w:val="0000EE"/>
            <w:u w:val="single"/>
          </w:rPr>
          <w:t>Esd 1.5–11</w:t>
        </w:r>
      </w:hyperlink>
      <w:r>
        <w:rPr>
          <w:lang w:val="fr_FR" w:bidi="fr_FR"/>
        </w:rPr>
        <w:t>). Dans leur enthousiasme, les exilés de retour au pays commencent rapidement à reconstruire l'autel et le temple (</w:t>
      </w:r>
      <w:hyperlink r:id="rId15">
        <w:r>
          <w:rPr>
            <w:lang w:val="fr_FR" w:bidi="fr_FR"/>
          </w:rPr>
          <w:rPr>
            <w:color w:val="0000EE"/>
            <w:u w:val="single"/>
          </w:rPr>
          <w:t>Esd 3.1–13</w:t>
        </w:r>
      </w:hyperlink>
      <w:r>
        <w:rPr>
          <w:lang w:val="fr_FR" w:bidi="fr_FR"/>
        </w:rPr>
        <w:t>), mais les résidents païens locaux menacent les Israélites et les découragent du mandat que Dieu leur avait assigné (</w:t>
      </w:r>
      <w:hyperlink r:id="rId16">
        <w:r>
          <w:rPr>
            <w:lang w:val="fr_FR" w:bidi="fr_FR"/>
          </w:rPr>
          <w:rPr>
            <w:color w:val="0000EE"/>
            <w:u w:val="single"/>
          </w:rPr>
          <w:t>Esd 4.4–24</w:t>
        </w:r>
      </w:hyperlink>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hyperlink r:id="rId17">
        <w:r>
          <w:rPr>
            <w:lang w:val="fr_FR" w:bidi="fr_FR"/>
          </w:rPr>
          <w:rPr>
            <w:color w:val="0000EE"/>
            <w:u w:val="single"/>
          </w:rPr>
          <w:t>1.11</w:t>
        </w:r>
      </w:hyperlink>
      <w:r>
        <w:rPr>
          <w:lang w:val="fr_FR" w:bidi="fr_FR"/>
        </w:rPr>
        <w:t>). Dieu l'envoie pour motiver les Israélites à reconstruire sa maison et motiver un réveil spirituel à Jérusalem. En réaction à cela, le peuple reprend la reconstruction (</w:t>
      </w:r>
      <w:hyperlink r:id="rId18">
        <w:r>
          <w:rPr>
            <w:lang w:val="fr_FR" w:bidi="fr_FR"/>
          </w:rPr>
          <w:rPr>
            <w:color w:val="0000EE"/>
            <w:u w:val="single"/>
          </w:rPr>
          <w:t>1.14</w:t>
        </w:r>
      </w:hyperlink>
      <w:r>
        <w:rPr>
          <w:lang w:val="fr_FR" w:bidi="fr_FR"/>
        </w:rPr>
        <w:t xml:space="preserve">), et le projet s'achève au mois de mars, en 515 av. J.‑C. (voir </w:t>
      </w:r>
      <w:hyperlink r:id="rId19">
        <w:r>
          <w:rPr>
            <w:lang w:val="fr_FR" w:bidi="fr_FR"/>
          </w:rPr>
          <w:rPr>
            <w:color w:val="0000EE"/>
            <w:u w:val="single"/>
          </w:rPr>
          <w:t>Esd 6.15</w:t>
        </w:r>
      </w:hyperlink>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hyperlink r:id="rId20">
        <w:r>
          <w:rPr>
            <w:lang w:val="fr_FR" w:bidi="fr_FR"/>
          </w:rPr>
          <w:rPr>
            <w:color w:val="0000EE"/>
            <w:u w:val="single"/>
          </w:rPr>
          <w:t>chap. 1</w:t>
        </w:r>
      </w:hyperlink>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hyperlink r:id="rId21">
        <w:r>
          <w:rPr>
            <w:lang w:val="fr_FR" w:bidi="fr_FR"/>
          </w:rPr>
          <w:rPr>
            <w:color w:val="0000EE"/>
            <w:u w:val="single"/>
          </w:rPr>
          <w:t>2.1–9</w:t>
        </w:r>
      </w:hyperlink>
      <w:r>
        <w:rPr>
          <w:lang w:val="fr_FR" w:bidi="fr_FR"/>
        </w:rPr>
        <w:t>) rassure la communauté sur le fait que Dieu n'a pas oublié les promesses de bénédiction et de restauration annoncées par les précédents prophètes. La gloire de l'Éternel remplit à nouveau la maison (</w:t>
      </w:r>
      <w:hyperlink r:id="rId22">
        <w:r>
          <w:rPr>
            <w:lang w:val="fr_FR" w:bidi="fr_FR"/>
          </w:rPr>
          <w:rPr>
            <w:color w:val="0000EE"/>
            <w:u w:val="single"/>
          </w:rPr>
          <w:t>2.7</w:t>
        </w:r>
      </w:hyperlink>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hyperlink r:id="rId23">
        <w:r>
          <w:rPr>
            <w:lang w:val="fr_FR" w:bidi="fr_FR"/>
          </w:rPr>
          <w:rPr>
            <w:color w:val="0000EE"/>
            <w:u w:val="single"/>
          </w:rPr>
          <w:t>2.10–19</w:t>
        </w:r>
      </w:hyperlink>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hyperlink r:id="rId24">
        <w:r>
          <w:rPr>
            <w:lang w:val="fr_FR" w:bidi="fr_FR"/>
          </w:rPr>
          <w:rPr>
            <w:color w:val="0000EE"/>
            <w:u w:val="single"/>
          </w:rPr>
          <w:t>Lv 11.44–45</w:t>
        </w:r>
      </w:hyperlink>
      <w:r>
        <w:rPr>
          <w:lang w:val="fr_FR" w:bidi="fr_FR"/>
        </w:rPr>
        <w:t>).</w:t>
      </w:r>
    </w:p>
    <w:p>
      <w:pPr/>
      <w:r>
        <w:rPr>
          <w:lang w:val="fr_FR" w:bidi="fr_FR"/>
        </w:rPr>
      </w:r>
      <w:r>
        <w:rPr>
          <w:lang w:val="fr_FR" w:bidi="fr_FR"/>
        </w:rPr>
        <w:t>Le dernier message d'Aggée est peut-être le plus important (</w:t>
      </w:r>
      <w:hyperlink r:id="rId25">
        <w:r>
          <w:rPr>
            <w:lang w:val="fr_FR" w:bidi="fr_FR"/>
          </w:rPr>
          <w:rPr>
            <w:color w:val="0000EE"/>
            <w:u w:val="single"/>
          </w:rPr>
          <w:t>2.20–23</w:t>
        </w:r>
      </w:hyperlink>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hyperlink r:id="rId26">
        <w:r>
          <w:rPr>
            <w:lang w:val="fr_FR" w:bidi="fr_FR"/>
          </w:rPr>
          <w:rPr>
            <w:color w:val="0000EE"/>
            <w:u w:val="single"/>
          </w:rPr>
          <w:t xml:space="preserve">Jr 23.5 </w:t>
        </w:r>
      </w:hyperlink>
      <w:r>
        <w:rPr>
          <w:lang w:val="fr_FR" w:bidi="fr_FR"/>
        </w:rPr>
        <w:t xml:space="preserve">; </w:t>
      </w:r>
      <w:hyperlink r:id="rId27">
        <w:r>
          <w:rPr>
            <w:lang w:val="fr_FR" w:bidi="fr_FR"/>
          </w:rPr>
          <w:rPr>
            <w:color w:val="0000EE"/>
            <w:u w:val="single"/>
          </w:rPr>
          <w:t xml:space="preserve">33.15 </w:t>
        </w:r>
      </w:hyperlink>
      <w:r>
        <w:rPr>
          <w:lang w:val="fr_FR" w:bidi="fr_FR"/>
        </w:rPr>
        <w:t xml:space="preserve">; </w:t>
      </w:r>
      <w:hyperlink r:id="rId28">
        <w:r>
          <w:rPr>
            <w:lang w:val="fr_FR" w:bidi="fr_FR"/>
          </w:rPr>
          <w:rPr>
            <w:color w:val="0000EE"/>
            <w:u w:val="single"/>
          </w:rPr>
          <w:t>Ez 37.24</w:t>
        </w:r>
      </w:hyperlink>
      <w:r>
        <w:rPr>
          <w:lang w:val="fr_FR" w:bidi="fr_FR"/>
        </w:rPr>
        <w:t>). Zorobabel est un descendant du roi David ; son mandat de servir de « sceau » de l'Éternel marque le début de la restauration d'Israël par Dieu (</w:t>
      </w:r>
      <w:hyperlink r:id="rId29">
        <w:r>
          <w:rPr>
            <w:lang w:val="fr_FR" w:bidi="fr_FR"/>
          </w:rPr>
          <w:rPr>
            <w:color w:val="0000EE"/>
            <w:u w:val="single"/>
          </w:rPr>
          <w:t>2.23</w:t>
        </w:r>
      </w:hyperlink>
      <w:r>
        <w:rPr>
          <w:lang w:val="fr_FR" w:bidi="fr_FR"/>
        </w:rPr>
        <w:t xml:space="preserve"> ; cf. </w:t>
      </w:r>
      <w:hyperlink r:id="rId30">
        <w:r>
          <w:rPr>
            <w:lang w:val="fr_FR" w:bidi="fr_FR"/>
          </w:rPr>
          <w:rPr>
            <w:color w:val="0000EE"/>
            <w:u w:val="single"/>
          </w:rPr>
          <w:t>Jr 22.24</w:t>
        </w:r>
      </w:hyperlink>
      <w:r>
        <w:rPr>
          <w:lang w:val="fr_FR" w:bidi="fr_FR"/>
        </w:rPr>
        <w:t>) et renvoie à Jésus-Christ, également descendant de David (</w:t>
      </w:r>
      <w:hyperlink r:id="rId31">
        <w:r>
          <w:rPr>
            <w:lang w:val="fr_FR" w:bidi="fr_FR"/>
          </w:rPr>
          <w:rPr>
            <w:color w:val="0000EE"/>
            <w:u w:val="single"/>
          </w:rPr>
          <w:t>Mt 1.1</w:t>
        </w:r>
      </w:hyperlink>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hyperlink r:id="rId32">
        <w:r>
          <w:rPr>
            <w:lang w:val="fr_FR" w:bidi="fr_FR"/>
          </w:rPr>
          <w:rPr>
            <w:color w:val="0000EE"/>
            <w:u w:val="single"/>
          </w:rPr>
          <w:t>1.1</w:t>
        </w:r>
      </w:hyperlink>
      <w:r>
        <w:rPr>
          <w:lang w:val="fr_FR" w:bidi="fr_FR"/>
        </w:rPr>
        <w:t xml:space="preserve">, </w:t>
      </w:r>
      <w:hyperlink r:id="rId33">
        <w:r>
          <w:rPr>
            <w:lang w:val="fr_FR" w:bidi="fr_FR"/>
          </w:rPr>
          <w:rPr>
            <w:color w:val="0000EE"/>
            <w:u w:val="single"/>
          </w:rPr>
          <w:t>3</w:t>
        </w:r>
      </w:hyperlink>
      <w:r>
        <w:rPr>
          <w:lang w:val="fr_FR" w:bidi="fr_FR"/>
        </w:rPr>
        <w:t xml:space="preserve">). La Bible ne fournit aucune information biographique sur le prophète Aggée, mais on rend témoignage de son ministère en </w:t>
      </w:r>
      <w:hyperlink r:id="rId34">
        <w:r>
          <w:rPr>
            <w:lang w:val="fr_FR" w:bidi="fr_FR"/>
          </w:rPr>
          <w:rPr>
            <w:color w:val="0000EE"/>
            <w:u w:val="single"/>
          </w:rPr>
          <w:t>Esd 6.14</w:t>
        </w:r>
      </w:hyperlink>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hyperlink r:id="rId32">
        <w:r>
          <w:rPr>
            <w:lang w:val="fr_FR" w:bidi="fr_FR"/>
          </w:rPr>
          <w:rPr>
            <w:color w:val="0000EE"/>
            <w:u w:val="single"/>
          </w:rPr>
          <w:t>1.1</w:t>
        </w:r>
      </w:hyperlink>
      <w:r>
        <w:rPr>
          <w:lang w:val="fr_FR" w:bidi="fr_FR"/>
        </w:rPr>
        <w:t xml:space="preserve">, </w:t>
      </w:r>
      <w:hyperlink r:id="rId35">
        <w:r>
          <w:rPr>
            <w:lang w:val="fr_FR" w:bidi="fr_FR"/>
          </w:rPr>
          <w:rPr>
            <w:color w:val="0000EE"/>
            <w:u w:val="single"/>
          </w:rPr>
          <w:t>15</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Le ministère d'Aggée dans la Judée post-exil coïncide avec celui de Zacharie, qui a commencé à prêcher à Jérusalem au mois de novembre, cette même année (voir </w:t>
      </w:r>
      <w:hyperlink r:id="rId38">
        <w:r>
          <w:rPr>
            <w:lang w:val="fr_FR" w:bidi="fr_FR"/>
          </w:rPr>
          <w:rPr>
            <w:color w:val="0000EE"/>
            <w:u w:val="single"/>
          </w:rPr>
          <w:t>Za 1.1</w:t>
        </w:r>
      </w:hyperlink>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hyperlink r:id="rId39">
        <w:r>
          <w:rPr>
            <w:lang w:val="fr_FR" w:bidi="fr_FR"/>
          </w:rPr>
          <w:rPr>
            <w:color w:val="0000EE"/>
            <w:u w:val="single"/>
          </w:rPr>
          <w:t xml:space="preserve">1.4 </w:t>
        </w:r>
      </w:hyperlink>
      <w:r>
        <w:rPr>
          <w:lang w:val="fr_FR" w:bidi="fr_FR"/>
        </w:rPr>
        <w:t xml:space="preserve">; </w:t>
      </w:r>
      <w:hyperlink r:id="rId40">
        <w:r>
          <w:rPr>
            <w:lang w:val="fr_FR" w:bidi="fr_FR"/>
          </w:rPr>
          <w:rPr>
            <w:color w:val="0000EE"/>
            <w:u w:val="single"/>
          </w:rPr>
          <w:t>2.3</w:t>
        </w:r>
      </w:hyperlink>
      <w:r>
        <w:rPr>
          <w:lang w:val="fr_FR" w:bidi="fr_FR"/>
        </w:rPr>
        <w:t xml:space="preserve">, </w:t>
      </w:r>
      <w:hyperlink r:id="rId41">
        <w:r>
          <w:rPr>
            <w:lang w:val="fr_FR" w:bidi="fr_FR"/>
          </w:rPr>
          <w:rPr>
            <w:color w:val="0000EE"/>
            <w:u w:val="single"/>
          </w:rPr>
          <w:t>19</w:t>
        </w:r>
      </w:hyperlink>
      <w:r>
        <w:rPr>
          <w:lang w:val="fr_FR" w:bidi="fr_FR"/>
        </w:rPr>
        <w:t xml:space="preserve">). Il emploie aussi la répétition de mots ou de phrases pour donner la couleur de ses sermons (par exemple, la répétition de « considérez attentivement vos voies », </w:t>
      </w:r>
      <w:hyperlink r:id="rId42">
        <w:r>
          <w:rPr>
            <w:lang w:val="fr_FR" w:bidi="fr_FR"/>
          </w:rPr>
          <w:rPr>
            <w:color w:val="0000EE"/>
            <w:u w:val="single"/>
          </w:rPr>
          <w:t>1.5</w:t>
        </w:r>
      </w:hyperlink>
      <w:r>
        <w:rPr>
          <w:lang w:val="fr_FR" w:bidi="fr_FR"/>
        </w:rPr>
        <w:t xml:space="preserve">, </w:t>
      </w:r>
      <w:hyperlink r:id="rId43">
        <w:r>
          <w:rPr>
            <w:lang w:val="fr_FR" w:bidi="fr_FR"/>
          </w:rPr>
          <w:rPr>
            <w:color w:val="0000EE"/>
            <w:u w:val="single"/>
          </w:rPr>
          <w:t xml:space="preserve">7 </w:t>
        </w:r>
      </w:hyperlink>
      <w:r>
        <w:rPr>
          <w:lang w:val="fr_FR" w:bidi="fr_FR"/>
        </w:rPr>
        <w:t xml:space="preserve">; </w:t>
      </w:r>
      <w:hyperlink r:id="rId44">
        <w:r>
          <w:rPr>
            <w:lang w:val="fr_FR" w:bidi="fr_FR"/>
          </w:rPr>
          <w:rPr>
            <w:color w:val="0000EE"/>
            <w:u w:val="single"/>
          </w:rPr>
          <w:t>2.15</w:t>
        </w:r>
      </w:hyperlink>
      <w:r>
        <w:rPr>
          <w:lang w:val="fr_FR" w:bidi="fr_FR"/>
        </w:rPr>
        <w:t xml:space="preserve">), et il joue parfois sur les mots (par exemple, avec l'hébreu </w:t>
      </w:r>
      <w:r>
        <w:rPr>
          <w:i/>
          <w:lang w:val="fr_FR" w:bidi="fr_FR"/>
        </w:rPr>
        <w:t>khareb</w:t>
      </w:r>
      <w:r>
        <w:rPr>
          <w:lang w:val="fr_FR" w:bidi="fr_FR"/>
        </w:rPr>
        <w:t>, « ruines » [</w:t>
      </w:r>
      <w:hyperlink r:id="rId39">
        <w:r>
          <w:rPr>
            <w:lang w:val="fr_FR" w:bidi="fr_FR"/>
          </w:rPr>
          <w:rPr>
            <w:color w:val="0000EE"/>
            <w:u w:val="single"/>
          </w:rPr>
          <w:t>1.4</w:t>
        </w:r>
      </w:hyperlink>
      <w:r>
        <w:rPr>
          <w:lang w:val="fr_FR" w:bidi="fr_FR"/>
        </w:rPr>
        <w:t xml:space="preserve">] et </w:t>
      </w:r>
      <w:r>
        <w:rPr>
          <w:i/>
          <w:lang w:val="fr_FR" w:bidi="fr_FR"/>
        </w:rPr>
        <w:t>khoreb</w:t>
      </w:r>
      <w:r>
        <w:rPr>
          <w:lang w:val="fr_FR" w:bidi="fr_FR"/>
        </w:rPr>
        <w:t>, « sécheresse » [</w:t>
      </w:r>
      <w:hyperlink r:id="rId17">
        <w:r>
          <w:rPr>
            <w:lang w:val="fr_FR" w:bidi="fr_FR"/>
          </w:rPr>
          <w:rPr>
            <w:color w:val="0000EE"/>
            <w:u w:val="single"/>
          </w:rPr>
          <w:t>1.11</w:t>
        </w:r>
      </w:hyperlink>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message » (« le Seigneur a donné/envoyé un message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Dieu qui parle » (« ainsi parle l'Éternel », </w:t>
      </w:r>
      <w:hyperlink r:id="rId43">
        <w:r>
          <w:rPr>
            <w:lang w:val="fr_FR" w:bidi="fr_FR"/>
          </w:rPr>
          <w:rPr>
            <w:color w:val="0000EE"/>
            <w:u w:val="single"/>
          </w:rPr>
          <w:t>1.7</w:t>
        </w:r>
      </w:hyperlink>
      <w:r>
        <w:rPr>
          <w:lang w:val="fr_FR" w:bidi="fr_FR"/>
        </w:rPr>
        <w:t xml:space="preserve">, </w:t>
      </w:r>
      <w:hyperlink r:id="rId46">
        <w:r>
          <w:rPr>
            <w:lang w:val="fr_FR" w:bidi="fr_FR"/>
          </w:rPr>
          <w:rPr>
            <w:color w:val="0000EE"/>
            <w:u w:val="single"/>
          </w:rPr>
          <w:t>13</w:t>
        </w:r>
      </w:hyperlink>
      <w:r>
        <w:rPr>
          <w:lang w:val="fr_FR" w:bidi="fr_FR"/>
        </w:rPr>
        <w:t xml:space="preserve"> ; </w:t>
      </w:r>
      <w:hyperlink r:id="rId47">
        <w:r>
          <w:rPr>
            <w:lang w:val="fr_FR" w:bidi="fr_FR"/>
          </w:rPr>
          <w:rPr>
            <w:color w:val="0000EE"/>
            <w:u w:val="single"/>
          </w:rPr>
          <w:t>2.4</w:t>
        </w:r>
      </w:hyperlink>
      <w:r>
        <w:rPr>
          <w:lang w:val="fr_FR" w:bidi="fr_FR"/>
        </w:rPr>
        <w:t xml:space="preserve">), et celle de la « relation d'alliance » (« Je suis avec vous », </w:t>
      </w:r>
      <w:hyperlink r:id="rId48">
        <w:r>
          <w:rPr>
            <w:lang w:val="fr_FR" w:bidi="fr_FR"/>
          </w:rPr>
          <w:rPr>
            <w:color w:val="0000EE"/>
            <w:u w:val="single"/>
          </w:rPr>
          <w:t>2.4–5</w:t>
        </w:r>
      </w:hyperlink>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hyperlink r:id="rId49">
        <w:r>
          <w:rPr>
            <w:lang w:val="fr_FR" w:bidi="fr_FR"/>
          </w:rPr>
          <w:rPr>
            <w:color w:val="0000EE"/>
            <w:u w:val="single"/>
          </w:rPr>
          <w:t>1.13–14</w:t>
        </w:r>
      </w:hyperlink>
      <w:r>
        <w:rPr>
          <w:lang w:val="fr_FR" w:bidi="fr_FR"/>
        </w:rPr>
        <w:t xml:space="preserve"> ; </w:t>
      </w:r>
      <w:hyperlink r:id="rId48">
        <w:r>
          <w:rPr>
            <w:lang w:val="fr_FR" w:bidi="fr_FR"/>
          </w:rPr>
          <w:rPr>
            <w:color w:val="0000EE"/>
            <w:u w:val="single"/>
          </w:rPr>
          <w:t>2.4–5</w:t>
        </w:r>
      </w:hyperlink>
      <w:r>
        <w:rPr>
          <w:lang w:val="fr_FR" w:bidi="fr_FR"/>
        </w:rPr>
        <w:t>), un thème partagé avec son contemporain Zacharie (</w:t>
      </w:r>
      <w:hyperlink r:id="rId50">
        <w:r>
          <w:rPr>
            <w:lang w:val="fr_FR" w:bidi="fr_FR"/>
          </w:rPr>
          <w:rPr>
            <w:color w:val="0000EE"/>
            <w:u w:val="single"/>
          </w:rPr>
          <w:t>Za 1.16</w:t>
        </w:r>
      </w:hyperlink>
      <w:r>
        <w:rPr>
          <w:lang w:val="fr_FR" w:bidi="fr_FR"/>
        </w:rPr>
        <w:t xml:space="preserve"> ; </w:t>
      </w:r>
      <w:hyperlink r:id="rId51">
        <w:r>
          <w:rPr>
            <w:lang w:val="fr_FR" w:bidi="fr_FR"/>
          </w:rPr>
          <w:rPr>
            <w:color w:val="0000EE"/>
            <w:u w:val="single"/>
          </w:rPr>
          <w:t>8.23</w:t>
        </w:r>
      </w:hyperlink>
      <w:r>
        <w:rPr>
          <w:lang w:val="fr_FR" w:bidi="fr_FR"/>
        </w:rPr>
        <w:t xml:space="preserve"> ; voir aussi </w:t>
      </w:r>
      <w:hyperlink r:id="rId52">
        <w:r>
          <w:rPr>
            <w:lang w:val="fr_FR" w:bidi="fr_FR"/>
          </w:rPr>
          <w:rPr>
            <w:color w:val="0000EE"/>
            <w:u w:val="single"/>
          </w:rPr>
          <w:t>Ez 37.27–28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