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3">
        <w:r>
          <w:rPr>
            <w:lang w:val="fr_FR" w:bidi="fr_FR"/>
          </w:rPr>
          <w:rPr>
            <w:color w:val="0000EE"/>
            <w:u w:val="single"/>
          </w:rPr>
          <w:t>1.2</w:t>
        </w:r>
      </w:hyperlink>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hyperlink r:id="rId14">
        <w:r>
          <w:rPr>
            <w:lang w:val="fr_FR" w:bidi="fr_FR"/>
          </w:rPr>
          <w:rPr>
            <w:color w:val="0000EE"/>
            <w:u w:val="single"/>
          </w:rPr>
          <w:t>Ag 2.7</w:t>
        </w:r>
      </w:hyperlink>
      <w:r>
        <w:rPr>
          <w:lang w:val="fr_FR" w:bidi="fr_FR"/>
        </w:rPr>
        <w:t xml:space="preserve">, </w:t>
      </w:r>
      <w:hyperlink r:id="rId15">
        <w:r>
          <w:rPr>
            <w:lang w:val="fr_FR" w:bidi="fr_FR"/>
          </w:rPr>
          <w:rPr>
            <w:color w:val="0000EE"/>
            <w:u w:val="single"/>
          </w:rPr>
          <w:t>18–19</w:t>
        </w:r>
      </w:hyperlink>
      <w:r>
        <w:rPr>
          <w:lang w:val="fr_FR" w:bidi="fr_FR"/>
        </w:rPr>
        <w:t>), à un roi de la lignée de David (</w:t>
      </w:r>
      <w:hyperlink r:id="rId16">
        <w:r>
          <w:rPr>
            <w:lang w:val="fr_FR" w:bidi="fr_FR"/>
          </w:rPr>
          <w:rPr>
            <w:color w:val="0000EE"/>
            <w:u w:val="single"/>
          </w:rPr>
          <w:t>Ez 34.13</w:t>
        </w:r>
      </w:hyperlink>
      <w:r>
        <w:rPr>
          <w:lang w:val="fr_FR" w:bidi="fr_FR"/>
        </w:rPr>
        <w:t xml:space="preserve">, </w:t>
      </w:r>
      <w:hyperlink r:id="rId17">
        <w:r>
          <w:rPr>
            <w:lang w:val="fr_FR" w:bidi="fr_FR"/>
          </w:rPr>
          <w:rPr>
            <w:color w:val="0000EE"/>
            <w:u w:val="single"/>
          </w:rPr>
          <w:t>23–24</w:t>
        </w:r>
      </w:hyperlink>
      <w:r>
        <w:rPr>
          <w:lang w:val="fr_FR" w:bidi="fr_FR"/>
        </w:rPr>
        <w:t>), et à la nouvelle alliance promise par Jérémie (</w:t>
      </w:r>
      <w:hyperlink r:id="rId18">
        <w:r>
          <w:rPr>
            <w:lang w:val="fr_FR" w:bidi="fr_FR"/>
          </w:rPr>
          <w:rPr>
            <w:color w:val="0000EE"/>
            <w:u w:val="single"/>
          </w:rPr>
          <w:t>Jr 31.23</w:t>
        </w:r>
      </w:hyperlink>
      <w:r>
        <w:rPr>
          <w:lang w:val="fr_FR" w:bidi="fr_FR"/>
        </w:rPr>
        <w:t xml:space="preserve">, </w:t>
      </w:r>
      <w:hyperlink r:id="rId19">
        <w:r>
          <w:rPr>
            <w:lang w:val="fr_FR" w:bidi="fr_FR"/>
          </w:rPr>
          <w:rPr>
            <w:color w:val="0000EE"/>
            <w:u w:val="single"/>
          </w:rPr>
          <w:t>31–34</w:t>
        </w:r>
      </w:hyperlink>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hyperlink r:id="rId13">
        <w:r>
          <w:rPr>
            <w:lang w:val="fr_FR" w:bidi="fr_FR"/>
          </w:rPr>
          <w:rPr>
            <w:color w:val="0000EE"/>
            <w:u w:val="single"/>
          </w:rPr>
          <w:t>1.2</w:t>
        </w:r>
      </w:hyperlink>
      <w:r>
        <w:rPr>
          <w:lang w:val="fr_FR" w:bidi="fr_FR"/>
        </w:rPr>
        <w:t>) — dans son premier message (</w:t>
      </w:r>
      <w:hyperlink r:id="rId20">
        <w:r>
          <w:rPr>
            <w:lang w:val="fr_FR" w:bidi="fr_FR"/>
          </w:rPr>
          <w:rPr>
            <w:color w:val="0000EE"/>
            <w:u w:val="single"/>
          </w:rPr>
          <w:t>1.2–5</w:t>
        </w:r>
      </w:hyperlink>
      <w:r>
        <w:rPr>
          <w:lang w:val="fr_FR" w:bidi="fr_FR"/>
        </w:rPr>
        <w:t>). Le prophète débat ensuite sur cette thèse avec son auditoire dans les cinq paroles qui suivent. Le deuxième message (</w:t>
      </w:r>
      <w:hyperlink r:id="rId21">
        <w:r>
          <w:rPr>
            <w:lang w:val="fr_FR" w:bidi="fr_FR"/>
          </w:rPr>
          <w:rPr>
            <w:color w:val="0000EE"/>
            <w:u w:val="single"/>
          </w:rPr>
          <w:t>1.6–2.9</w:t>
        </w:r>
      </w:hyperlink>
      <w:r>
        <w:rPr>
          <w:lang w:val="fr_FR" w:bidi="fr_FR"/>
        </w:rPr>
        <w:t>), destiné spécifiquement aux sacrificateurs et aux Lévites servant dans le second temple, affirme que Dieu est l'Éternel et Père de tout Israël et mérite un culte authentique. Le troisième message (</w:t>
      </w:r>
      <w:hyperlink r:id="rId22">
        <w:r>
          <w:rPr>
            <w:lang w:val="fr_FR" w:bidi="fr_FR"/>
          </w:rPr>
          <w:rPr>
            <w:color w:val="0000EE"/>
            <w:u w:val="single"/>
          </w:rPr>
          <w:t>2.10–16</w:t>
        </w:r>
      </w:hyperlink>
      <w:r>
        <w:rPr>
          <w:lang w:val="fr_FR" w:bidi="fr_FR"/>
        </w:rPr>
        <w:t>) étend les implications de l'amour de Dieu aux relations humaines, en particulier au mariage. Le quatrième message (</w:t>
      </w:r>
      <w:hyperlink r:id="rId23">
        <w:r>
          <w:rPr>
            <w:lang w:val="fr_FR" w:bidi="fr_FR"/>
          </w:rPr>
          <w:rPr>
            <w:color w:val="0000EE"/>
            <w:u w:val="single"/>
          </w:rPr>
          <w:t>2.17–3.5</w:t>
        </w:r>
      </w:hyperlink>
      <w:r>
        <w:rPr>
          <w:lang w:val="fr_FR" w:bidi="fr_FR"/>
        </w:rPr>
        <w:t>) met en lumière la justice de Dieu, exhorte à l'honnêteté dans les paroles et les affaires, et à une juste préoccupation sociale. Le cinquième message (</w:t>
      </w:r>
      <w:hyperlink r:id="rId24">
        <w:r>
          <w:rPr>
            <w:lang w:val="fr_FR" w:bidi="fr_FR"/>
          </w:rPr>
          <w:rPr>
            <w:color w:val="0000EE"/>
            <w:u w:val="single"/>
          </w:rPr>
          <w:t>3.6–12</w:t>
        </w:r>
      </w:hyperlink>
      <w:r>
        <w:rPr>
          <w:lang w:val="fr_FR" w:bidi="fr_FR"/>
        </w:rPr>
        <w:t>) souligne le caractère fidèle de Dieu à sa parole et exhorte Israël à une fidélité similaire dans le culte, notamment au sujet des dîmes et des offrandes. Le dernier message (</w:t>
      </w:r>
      <w:hyperlink r:id="rId25">
        <w:r>
          <w:rPr>
            <w:lang w:val="fr_FR" w:bidi="fr_FR"/>
          </w:rPr>
          <w:rPr>
            <w:color w:val="0000EE"/>
            <w:u w:val="single"/>
          </w:rPr>
          <w:t>3.13–4.3</w:t>
        </w:r>
      </w:hyperlink>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hyperlink r:id="rId13">
        <w:r>
          <w:rPr>
            <w:lang w:val="fr_FR" w:bidi="fr_FR"/>
          </w:rPr>
          <w:rPr>
            <w:color w:val="0000EE"/>
            <w:u w:val="single"/>
          </w:rPr>
          <w:t>1.2</w:t>
        </w:r>
      </w:hyperlink>
      <w:r>
        <w:rPr>
          <w:lang w:val="fr_FR" w:bidi="fr_FR"/>
        </w:rPr>
        <w:t xml:space="preserve"> ; </w:t>
      </w:r>
      <w:hyperlink r:id="rId26">
        <w:r>
          <w:rPr>
            <w:lang w:val="fr_FR" w:bidi="fr_FR"/>
          </w:rPr>
          <w:rPr>
            <w:color w:val="0000EE"/>
            <w:u w:val="single"/>
          </w:rPr>
          <w:t>4.2</w:t>
        </w:r>
      </w:hyperlink>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hyperlink r:id="rId27">
        <w:r>
          <w:rPr>
            <w:lang w:val="fr_FR" w:bidi="fr_FR"/>
          </w:rPr>
          <w:rPr>
            <w:color w:val="0000EE"/>
            <w:u w:val="single"/>
          </w:rPr>
          <w:t>1.1</w:t>
        </w:r>
      </w:hyperlink>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hyperlink r:id="rId27">
        <w:r>
          <w:rPr>
            <w:lang w:val="fr_FR" w:bidi="fr_FR"/>
          </w:rPr>
          <w:rPr>
            <w:color w:val="0000EE"/>
            <w:u w:val="single"/>
          </w:rPr>
          <w:t>1.1</w:t>
        </w:r>
      </w:hyperlink>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hyperlink r:id="rId28">
        <w:r>
          <w:rPr>
            <w:lang w:val="fr_FR" w:bidi="fr_FR"/>
          </w:rPr>
          <w:rPr>
            <w:color w:val="0000EE"/>
            <w:u w:val="single"/>
          </w:rPr>
          <w:t>So 1.1</w:t>
        </w:r>
      </w:hyperlink>
      <w:r>
        <w:rPr>
          <w:lang w:val="fr_FR" w:bidi="fr_FR"/>
        </w:rPr>
        <w:t xml:space="preserve"> ; </w:t>
      </w:r>
      <w:hyperlink r:id="rId29">
        <w:r>
          <w:rPr>
            <w:lang w:val="fr_FR" w:bidi="fr_FR"/>
          </w:rPr>
          <w:rPr>
            <w:color w:val="0000EE"/>
            <w:u w:val="single"/>
          </w:rPr>
          <w:t>Ag 1.1</w:t>
        </w:r>
      </w:hyperlink>
      <w:r>
        <w:rPr>
          <w:lang w:val="fr_FR" w:bidi="fr_FR"/>
        </w:rPr>
        <w:t xml:space="preserve"> ; </w:t>
      </w:r>
      <w:hyperlink r:id="rId30">
        <w:r>
          <w:rPr>
            <w:lang w:val="fr_FR" w:bidi="fr_FR"/>
          </w:rPr>
          <w:rPr>
            <w:color w:val="0000EE"/>
            <w:u w:val="single"/>
          </w:rPr>
          <w:t>Za 1.1</w:t>
        </w:r>
      </w:hyperlink>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1">
        <w:r>
          <w:rPr>
            <w:lang w:val="fr_FR" w:bidi="fr_FR"/>
          </w:rPr>
          <w:rPr>
            <w:color w:val="0000EE"/>
            <w:u w:val="single"/>
          </w:rPr>
          <w:t>Ag 2.21–22</w:t>
        </w:r>
      </w:hyperlink>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hyperlink r:id="rId32">
        <w:r>
          <w:rPr>
            <w:lang w:val="fr_FR" w:bidi="fr_FR"/>
          </w:rPr>
          <w:rPr>
            <w:color w:val="0000EE"/>
            <w:u w:val="single"/>
          </w:rPr>
          <w:t>Mt 5.21–22</w:t>
        </w:r>
      </w:hyperlink>
      <w:r>
        <w:rPr>
          <w:lang w:val="fr_FR" w:bidi="fr_FR"/>
        </w:rPr>
        <w:t xml:space="preserve">, </w:t>
      </w:r>
      <w:hyperlink r:id="rId33">
        <w:r>
          <w:rPr>
            <w:lang w:val="fr_FR" w:bidi="fr_FR"/>
          </w:rPr>
          <w:rPr>
            <w:color w:val="0000EE"/>
            <w:u w:val="single"/>
          </w:rPr>
          <w:t>5.27–28</w:t>
        </w:r>
      </w:hyperlink>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