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3">
        <w:r>
          <w:rPr>
            <w:lang w:val="fr_FR" w:bidi="fr_FR"/>
          </w:rPr>
          <w:rPr>
            <w:color w:val="0000EE"/>
            <w:u w:val="single"/>
          </w:rPr>
          <w:t>Ac 17.1</w:t>
        </w:r>
      </w:hyperlink>
      <w:r>
        <w:rPr>
          <w:lang w:val="fr_FR" w:bidi="fr_FR"/>
        </w:rPr>
        <w:t>).</w:t>
      </w:r>
    </w:p>
    <w:p>
      <w:pPr/>
      <w:r>
        <w:rPr>
          <w:lang w:val="fr_FR" w:bidi="fr_FR"/>
        </w:rPr>
      </w:r>
      <w:r>
        <w:rPr>
          <w:lang w:val="fr_FR" w:bidi="fr_FR"/>
        </w:rPr>
        <w:t xml:space="preserve">Luc a rapporté l’évangélisation de Thessalonique aux versets </w:t>
      </w:r>
      <w:hyperlink r:id="rId14">
        <w:r>
          <w:rPr>
            <w:lang w:val="fr_FR" w:bidi="fr_FR"/>
          </w:rPr>
          <w:rPr>
            <w:color w:val="0000EE"/>
            <w:u w:val="single"/>
          </w:rPr>
          <w:t>Ac 17.1–9</w:t>
        </w:r>
      </w:hyperlink>
      <w:r>
        <w:rPr>
          <w:lang w:val="fr_FR" w:bidi="fr_FR"/>
        </w:rPr>
        <w:t>. Lorsque Paul a prêché dans la synagogue, certains Juifs se sont convertis au Christ. La plupart des convertis de Thessalonique étaient cependant des Gentils qui avaient abandonné l’idolâtrie pour suivre le Christ (</w:t>
      </w:r>
      <w:hyperlink r:id="rId15">
        <w:r>
          <w:rPr>
            <w:lang w:val="fr_FR" w:bidi="fr_FR"/>
          </w:rPr>
          <w:rPr>
            <w:color w:val="0000EE"/>
            <w:u w:val="single"/>
          </w:rPr>
          <w:t>1Th 1.9</w:t>
        </w:r>
      </w:hyperlink>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hyperlink r:id="rId16">
        <w:r>
          <w:rPr>
            <w:lang w:val="fr_FR" w:bidi="fr_FR"/>
          </w:rPr>
          <w:rPr>
            <w:color w:val="0000EE"/>
            <w:u w:val="single"/>
          </w:rPr>
          <w:t>Ac 17.4–7</w:t>
        </w:r>
      </w:hyperlink>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hyperlink r:id="rId17">
        <w:r>
          <w:rPr>
            <w:lang w:val="fr_FR" w:bidi="fr_FR"/>
          </w:rPr>
          <w:rPr>
            <w:color w:val="0000EE"/>
            <w:u w:val="single"/>
          </w:rPr>
          <w:t>1Th 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hyperlink r:id="rId20">
        <w:r>
          <w:rPr>
            <w:lang w:val="fr_FR" w:bidi="fr_FR"/>
          </w:rPr>
          <w:rPr>
            <w:color w:val="0000EE"/>
            <w:u w:val="single"/>
          </w:rPr>
          <w:t>Ac 17.10–18.1</w:t>
        </w:r>
      </w:hyperlink>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hyperlink r:id="rId21">
        <w:r>
          <w:rPr>
            <w:lang w:val="fr_FR" w:bidi="fr_FR"/>
          </w:rPr>
          <w:rPr>
            <w:color w:val="0000EE"/>
            <w:u w:val="single"/>
          </w:rPr>
          <w:t>1Th 2.17–18</w:t>
        </w:r>
      </w:hyperlink>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hyperlink r:id="rId22">
        <w:r>
          <w:rPr>
            <w:lang w:val="fr_FR" w:bidi="fr_FR"/>
          </w:rPr>
          <w:rPr>
            <w:color w:val="0000EE"/>
            <w:u w:val="single"/>
          </w:rPr>
          <w:t>3.1–2</w:t>
        </w:r>
      </w:hyperlink>
      <w:r>
        <w:rPr>
          <w:lang w:val="fr_FR" w:bidi="fr_FR"/>
        </w:rPr>
        <w:t xml:space="preserve">, </w:t>
      </w:r>
      <w:hyperlink r:id="rId23">
        <w:r>
          <w:rPr>
            <w:lang w:val="fr_FR" w:bidi="fr_FR"/>
          </w:rPr>
          <w:rPr>
            <w:color w:val="0000EE"/>
            <w:u w:val="single"/>
          </w:rPr>
          <w:t>3.5</w:t>
        </w:r>
      </w:hyperlink>
      <w:r>
        <w:rPr>
          <w:lang w:val="fr_FR" w:bidi="fr_FR"/>
        </w:rPr>
        <w:t>). Pendant que Paul est à Corinthe, Timothée revient de Thessalonique avec la bonne nouvelle que les croyants thessaloniciens ont persévéré dans la foi et l’amour et qu’ils tiennent bon malgré l’opposition qu’ils rencontrent (</w:t>
      </w:r>
      <w:hyperlink r:id="rId24">
        <w:r>
          <w:rPr>
            <w:lang w:val="fr_FR" w:bidi="fr_FR"/>
          </w:rPr>
          <w:rPr>
            <w:color w:val="0000EE"/>
            <w:u w:val="single"/>
          </w:rPr>
          <w:t>3.6–8</w:t>
        </w:r>
      </w:hyperlink>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5">
        <w:r>
          <w:rPr>
            <w:lang w:val="fr_FR" w:bidi="fr_FR"/>
          </w:rPr>
          <w:rPr>
            <w:color w:val="0000EE"/>
            <w:u w:val="single"/>
          </w:rPr>
          <w:t>3.9–11</w:t>
        </w:r>
      </w:hyperlink>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hyperlink r:id="rId26">
        <w:r>
          <w:rPr>
            <w:lang w:val="fr_FR" w:bidi="fr_FR"/>
          </w:rPr>
          <w:rPr>
            <w:color w:val="0000EE"/>
            <w:u w:val="single"/>
          </w:rPr>
          <w:t>1.2–3</w:t>
        </w:r>
      </w:hyperlink>
      <w:r>
        <w:rPr>
          <w:lang w:val="fr_FR" w:bidi="fr_FR"/>
        </w:rPr>
        <w:t xml:space="preserve"> ; </w:t>
      </w:r>
      <w:hyperlink r:id="rId27">
        <w:r>
          <w:rPr>
            <w:lang w:val="fr_FR" w:bidi="fr_FR"/>
          </w:rPr>
          <w:rPr>
            <w:color w:val="0000EE"/>
            <w:u w:val="single"/>
          </w:rPr>
          <w:t>2.13</w:t>
        </w:r>
      </w:hyperlink>
      <w:r>
        <w:rPr>
          <w:lang w:val="fr_FR" w:bidi="fr_FR"/>
        </w:rPr>
        <w:t xml:space="preserve"> ; </w:t>
      </w:r>
      <w:hyperlink r:id="rId28">
        <w:r>
          <w:rPr>
            <w:lang w:val="fr_FR" w:bidi="fr_FR"/>
          </w:rPr>
          <w:rPr>
            <w:color w:val="0000EE"/>
            <w:u w:val="single"/>
          </w:rPr>
          <w:t>3.9</w:t>
        </w:r>
      </w:hyperlink>
      <w:r>
        <w:rPr>
          <w:lang w:val="fr_FR" w:bidi="fr_FR"/>
        </w:rPr>
        <w:t xml:space="preserve">). Cependant, Paul exprime également certaines de ses préoccupations. Dans le monde antique, il y avait de nombreux orateurs itinérants qui ne cherchaient que l’argent et la gloire. Aux versets </w:t>
      </w:r>
      <w:hyperlink r:id="rId29">
        <w:r>
          <w:rPr>
            <w:lang w:val="fr_FR" w:bidi="fr_FR"/>
          </w:rPr>
          <w:rPr>
            <w:color w:val="0000EE"/>
            <w:u w:val="single"/>
          </w:rPr>
          <w:t>2.1–3.13</w:t>
        </w:r>
      </w:hyperlink>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hyperlink r:id="rId30">
        <w:r>
          <w:rPr>
            <w:lang w:val="fr_FR" w:bidi="fr_FR"/>
          </w:rPr>
          <w:rPr>
            <w:color w:val="0000EE"/>
            <w:u w:val="single"/>
          </w:rPr>
          <w:t>2.17–20</w:t>
        </w:r>
      </w:hyperlink>
      <w:r>
        <w:rPr>
          <w:lang w:val="fr_FR" w:bidi="fr_FR"/>
        </w:rPr>
        <w:t>). Paul démontre l’attention qu’il a pour eux en leur rappelant qu’il a envoyé Timothée pour les soutenir et s’informer de leur bien-être (</w:t>
      </w:r>
      <w:hyperlink r:id="rId31">
        <w:r>
          <w:rPr>
            <w:lang w:val="fr_FR" w:bidi="fr_FR"/>
          </w:rPr>
          <w:rPr>
            <w:color w:val="0000EE"/>
            <w:u w:val="single"/>
          </w:rPr>
          <w:t>3.1–5</w:t>
        </w:r>
      </w:hyperlink>
      <w:r>
        <w:rPr>
          <w:lang w:val="fr_FR" w:bidi="fr_FR"/>
        </w:rPr>
        <w:t>). Paul raconte combien il a été grandement réconforté par le rapport que lui a fait Timothée (</w:t>
      </w:r>
      <w:hyperlink r:id="rId24">
        <w:r>
          <w:rPr>
            <w:lang w:val="fr_FR" w:bidi="fr_FR"/>
          </w:rPr>
          <w:rPr>
            <w:color w:val="0000EE"/>
            <w:u w:val="single"/>
          </w:rPr>
          <w:t>3.6–8</w:t>
        </w:r>
      </w:hyperlink>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hyperlink r:id="rId32">
        <w:r>
          <w:rPr>
            <w:lang w:val="fr_FR" w:bidi="fr_FR"/>
          </w:rPr>
          <w:rPr>
            <w:color w:val="0000EE"/>
            <w:u w:val="single"/>
          </w:rPr>
          <w:t>3.9–13</w:t>
        </w:r>
      </w:hyperlink>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hyperlink r:id="rId33">
        <w:r>
          <w:rPr>
            <w:lang w:val="fr_FR" w:bidi="fr_FR"/>
          </w:rPr>
          <w:rPr>
            <w:color w:val="0000EE"/>
            <w:u w:val="single"/>
          </w:rPr>
          <w:t>4.1–8</w:t>
        </w:r>
      </w:hyperlink>
      <w:r>
        <w:rPr>
          <w:lang w:val="fr_FR" w:bidi="fr_FR"/>
        </w:rPr>
        <w:t>). De plus, certains individus au sein de l’Église refusent de travailler, et ignorent à cet égard l’enseignement et l’exemple des apôtres (</w:t>
      </w:r>
      <w:hyperlink r:id="rId34">
        <w:r>
          <w:rPr>
            <w:lang w:val="fr_FR" w:bidi="fr_FR"/>
          </w:rPr>
          <w:rPr>
            <w:color w:val="0000EE"/>
            <w:u w:val="single"/>
          </w:rPr>
          <w:t>4.11–12</w:t>
        </w:r>
      </w:hyperlink>
      <w:r>
        <w:rPr>
          <w:lang w:val="fr_FR" w:bidi="fr_FR"/>
        </w:rPr>
        <w:t xml:space="preserve"> ; </w:t>
      </w:r>
      <w:hyperlink r:id="rId35">
        <w:r>
          <w:rPr>
            <w:lang w:val="fr_FR" w:bidi="fr_FR"/>
          </w:rPr>
          <w:rPr>
            <w:color w:val="0000EE"/>
            <w:u w:val="single"/>
          </w:rPr>
          <w:t>5.14</w:t>
        </w:r>
      </w:hyperlink>
      <w:r>
        <w:rPr>
          <w:lang w:val="fr_FR" w:bidi="fr_FR"/>
        </w:rPr>
        <w:t xml:space="preserve"> ; voir </w:t>
      </w:r>
      <w:hyperlink r:id="rId36">
        <w:r>
          <w:rPr>
            <w:lang w:val="fr_FR" w:bidi="fr_FR"/>
          </w:rPr>
          <w:rPr>
            <w:color w:val="0000EE"/>
            <w:u w:val="single"/>
          </w:rPr>
          <w:t>2Th 3.6–15</w:t>
        </w:r>
      </w:hyperlink>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hyperlink r:id="rId37">
        <w:r>
          <w:rPr>
            <w:lang w:val="fr_FR" w:bidi="fr_FR"/>
          </w:rPr>
          <w:rPr>
            <w:color w:val="0000EE"/>
            <w:u w:val="single"/>
          </w:rPr>
          <w:t>1Th 4.13–18</w:t>
        </w:r>
      </w:hyperlink>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hyperlink r:id="rId38">
        <w:r>
          <w:rPr>
            <w:lang w:val="fr_FR" w:bidi="fr_FR"/>
          </w:rPr>
          <w:rPr>
            <w:color w:val="0000EE"/>
            <w:u w:val="single"/>
          </w:rPr>
          <w:t>5.1–11</w:t>
        </w:r>
      </w:hyperlink>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hyperlink r:id="rId39">
        <w:r>
          <w:rPr>
            <w:lang w:val="fr_FR" w:bidi="fr_FR"/>
          </w:rPr>
          <w:rPr>
            <w:color w:val="0000EE"/>
            <w:u w:val="single"/>
          </w:rPr>
          <w:t>5.12–13</w:t>
        </w:r>
      </w:hyperlink>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hyperlink r:id="rId40">
        <w:r>
          <w:rPr>
            <w:lang w:val="fr_FR" w:bidi="fr_FR"/>
          </w:rPr>
          <w:rPr>
            <w:color w:val="0000EE"/>
            <w:u w:val="single"/>
          </w:rPr>
          <w:t>5.19–22</w:t>
        </w:r>
      </w:hyperlink>
      <w:r>
        <w:rPr>
          <w:lang w:val="fr_FR" w:bidi="fr_FR"/>
        </w:rPr>
        <w:t>). La lettre se conclut par une bénédiction qui exprime la confiance absolue de Paul dans la fidélité de Dieu et son œuvre dans leurs vies (</w:t>
      </w:r>
      <w:hyperlink r:id="rId41">
        <w:r>
          <w:rPr>
            <w:lang w:val="fr_FR" w:bidi="fr_FR"/>
          </w:rPr>
          <w:rPr>
            <w:color w:val="0000EE"/>
            <w:u w:val="single"/>
          </w:rPr>
          <w:t>5.23–24</w:t>
        </w:r>
      </w:hyperlink>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hyperlink r:id="rId42">
        <w:r>
          <w:rPr>
            <w:lang w:val="fr_FR" w:bidi="fr_FR"/>
          </w:rPr>
          <w:rPr>
            <w:color w:val="0000EE"/>
            <w:u w:val="single"/>
          </w:rPr>
          <w:t>1.1</w:t>
        </w:r>
      </w:hyperlink>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3">
        <w:r>
          <w:rPr>
            <w:lang w:val="fr_FR" w:bidi="fr_FR"/>
          </w:rPr>
          <w:rPr>
            <w:color w:val="0000EE"/>
            <w:u w:val="single"/>
          </w:rPr>
          <w:t>2.18</w:t>
        </w:r>
      </w:hyperlink>
      <w:r>
        <w:rPr>
          <w:lang w:val="fr_FR" w:bidi="fr_FR"/>
        </w:rPr>
        <w:t xml:space="preserve"> ; </w:t>
      </w:r>
      <w:hyperlink r:id="rId23">
        <w:r>
          <w:rPr>
            <w:lang w:val="fr_FR" w:bidi="fr_FR"/>
          </w:rPr>
          <w:rPr>
            <w:color w:val="0000EE"/>
            <w:u w:val="single"/>
          </w:rPr>
          <w:t>3.5</w:t>
        </w:r>
      </w:hyperlink>
      <w:r>
        <w:rPr>
          <w:lang w:val="fr_FR" w:bidi="fr_FR"/>
        </w:rPr>
        <w:t xml:space="preserve"> ; </w:t>
      </w:r>
      <w:hyperlink r:id="rId44">
        <w:r>
          <w:rPr>
            <w:lang w:val="fr_FR" w:bidi="fr_FR"/>
          </w:rPr>
          <w:rPr>
            <w:color w:val="0000EE"/>
            <w:u w:val="single"/>
          </w:rPr>
          <w:t>5.27</w:t>
        </w:r>
      </w:hyperlink>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hyperlink r:id="rId44">
        <w:r>
          <w:rPr>
            <w:lang w:val="fr_FR" w:bidi="fr_FR"/>
          </w:rPr>
          <w:rPr>
            <w:color w:val="0000EE"/>
            <w:u w:val="single"/>
          </w:rPr>
          <w:t>5.27</w:t>
        </w:r>
      </w:hyperlink>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hyperlink r:id="rId45">
        <w:r>
          <w:rPr>
            <w:lang w:val="fr_FR" w:bidi="fr_FR"/>
          </w:rPr>
          <w:rPr>
            <w:color w:val="0000EE"/>
            <w:u w:val="single"/>
          </w:rPr>
          <w:t>Ac 15.36–18.22</w:t>
        </w:r>
      </w:hyperlink>
      <w:r>
        <w:rPr>
          <w:lang w:val="fr_FR" w:bidi="fr_FR"/>
        </w:rPr>
        <w:t>) après le retour de Timothée de sa visite à l’église de Thessalonique (</w:t>
      </w:r>
      <w:hyperlink r:id="rId46">
        <w:r>
          <w:rPr>
            <w:lang w:val="fr_FR" w:bidi="fr_FR"/>
          </w:rPr>
          <w:rPr>
            <w:color w:val="0000EE"/>
            <w:u w:val="single"/>
          </w:rPr>
          <w:t xml:space="preserve">1Th 3.6 </w:t>
        </w:r>
      </w:hyperlink>
      <w:r>
        <w:rPr>
          <w:lang w:val="fr_FR" w:bidi="fr_FR"/>
        </w:rPr>
        <w:t xml:space="preserve">; </w:t>
      </w:r>
      <w:hyperlink r:id="rId47">
        <w:r>
          <w:rPr>
            <w:lang w:val="fr_FR" w:bidi="fr_FR"/>
          </w:rPr>
          <w:rPr>
            <w:color w:val="0000EE"/>
            <w:u w:val="single"/>
          </w:rPr>
          <w:t>Ac 18.5</w:t>
        </w:r>
      </w:hyperlink>
      <w:r>
        <w:rPr>
          <w:lang w:val="fr_FR" w:bidi="fr_FR"/>
        </w:rPr>
        <w:t>). Gallion a été nommé proconsul de la province romaine d’Achaïe en 51 ap. J.‑C., pendant le séjour de Paul à Corinthe (</w:t>
      </w:r>
      <w:hyperlink r:id="rId48">
        <w:r>
          <w:rPr>
            <w:lang w:val="fr_FR" w:bidi="fr_FR"/>
          </w:rPr>
          <w:rPr>
            <w:color w:val="0000EE"/>
            <w:u w:val="single"/>
          </w:rPr>
          <w:t>Ac 18.11–12</w:t>
        </w:r>
      </w:hyperlink>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hyperlink r:id="rId17">
        <w:r>
          <w:rPr>
            <w:lang w:val="fr_FR" w:bidi="fr_FR"/>
          </w:rPr>
          <w:rPr>
            <w:color w:val="0000EE"/>
            <w:u w:val="single"/>
          </w:rPr>
          <w:t>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Paul pensait qu’ils étaient attaqués par Satan, le tentateur (</w:t>
      </w:r>
      <w:hyperlink r:id="rId23">
        <w:r>
          <w:rPr>
            <w:lang w:val="fr_FR" w:bidi="fr_FR"/>
          </w:rPr>
          <w:rPr>
            <w:color w:val="0000EE"/>
            <w:u w:val="single"/>
          </w:rPr>
          <w:t>3.5</w:t>
        </w:r>
      </w:hyperlink>
      <w:r>
        <w:rPr>
          <w:lang w:val="fr_FR" w:bidi="fr_FR"/>
        </w:rPr>
        <w:t>), qui l’avait également empêché de leur rendre visite à nouveau (</w:t>
      </w:r>
      <w:hyperlink r:id="rId43">
        <w:r>
          <w:rPr>
            <w:lang w:val="fr_FR" w:bidi="fr_FR"/>
          </w:rPr>
          <w:rPr>
            <w:color w:val="0000EE"/>
            <w:u w:val="single"/>
          </w:rPr>
          <w:t>2.18</w:t>
        </w:r>
      </w:hyperlink>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hyperlink r:id="rId49">
        <w:r>
          <w:rPr>
            <w:lang w:val="fr_FR" w:bidi="fr_FR"/>
          </w:rPr>
          <w:rPr>
            <w:color w:val="0000EE"/>
            <w:u w:val="single"/>
          </w:rPr>
          <w:t>1.3</w:t>
        </w:r>
      </w:hyperlink>
      <w:r>
        <w:rPr>
          <w:lang w:val="fr_FR" w:bidi="fr_FR"/>
        </w:rPr>
        <w:t xml:space="preserve"> ; </w:t>
      </w:r>
      <w:hyperlink r:id="rId46">
        <w:r>
          <w:rPr>
            <w:lang w:val="fr_FR" w:bidi="fr_FR"/>
          </w:rPr>
          <w:rPr>
            <w:color w:val="0000EE"/>
            <w:u w:val="single"/>
          </w:rPr>
          <w:t>3.6</w:t>
        </w:r>
      </w:hyperlink>
      <w:r>
        <w:rPr>
          <w:lang w:val="fr_FR" w:bidi="fr_FR"/>
        </w:rPr>
        <w:t xml:space="preserve"> ; </w:t>
      </w:r>
      <w:hyperlink r:id="rId50">
        <w:r>
          <w:rPr>
            <w:lang w:val="fr_FR" w:bidi="fr_FR"/>
          </w:rPr>
          <w:rPr>
            <w:color w:val="0000EE"/>
            <w:u w:val="single"/>
          </w:rPr>
          <w:t>5.8</w:t>
        </w:r>
      </w:hyperlink>
      <w:r>
        <w:rPr>
          <w:lang w:val="fr_FR" w:bidi="fr_FR"/>
        </w:rPr>
        <w:t>). Ils ont même contribué à répandre la Bonne Nouvelle dans les régions environnantes (</w:t>
      </w:r>
      <w:hyperlink r:id="rId51">
        <w:r>
          <w:rPr>
            <w:lang w:val="fr_FR" w:bidi="fr_FR"/>
          </w:rPr>
          <w:rPr>
            <w:color w:val="0000EE"/>
            <w:u w:val="single"/>
          </w:rPr>
          <w:t>1.8</w:t>
        </w:r>
      </w:hyperlink>
      <w:r>
        <w:rPr>
          <w:lang w:val="fr_FR" w:bidi="fr_FR"/>
        </w:rPr>
        <w:t xml:space="preserve">) et </w:t>
      </w:r>
      <w:r>
        <w:rPr>
          <w:lang w:val="fr_FR" w:bidi="fr_FR"/>
        </w:rPr>
        <w:t>sont devenus pour les autres croyants des exemples de vraie foi au milieu de la souffrance</w:t>
      </w:r>
      <w:r>
        <w:rPr>
          <w:lang w:val="fr_FR" w:bidi="fr_FR"/>
        </w:rPr>
        <w:t xml:space="preserve"> (</w:t>
      </w:r>
      <w:hyperlink r:id="rId52">
        <w:r>
          <w:rPr>
            <w:lang w:val="fr_FR" w:bidi="fr_FR"/>
          </w:rPr>
          <w:rPr>
            <w:color w:val="0000EE"/>
            <w:u w:val="single"/>
          </w:rPr>
          <w:t>1.6–7</w:t>
        </w:r>
      </w:hyperlink>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3">
        <w:r>
          <w:rPr>
            <w:lang w:val="fr_FR" w:bidi="fr_FR"/>
          </w:rPr>
          <w:rPr>
            <w:color w:val="0000EE"/>
            <w:u w:val="single"/>
          </w:rPr>
          <w:t>1.4</w:t>
        </w:r>
      </w:hyperlink>
      <w:r>
        <w:rPr>
          <w:lang w:val="fr_FR" w:bidi="fr_FR"/>
        </w:rPr>
        <w:t>) et que la Bonne Nouvelle est le message divin et le témoignage de la puissance de Dieu (</w:t>
      </w:r>
      <w:hyperlink r:id="rId54">
        <w:r>
          <w:rPr>
            <w:lang w:val="fr_FR" w:bidi="fr_FR"/>
          </w:rPr>
          <w:rPr>
            <w:color w:val="0000EE"/>
            <w:u w:val="single"/>
          </w:rPr>
          <w:t>1.5</w:t>
        </w:r>
      </w:hyperlink>
      <w:r>
        <w:rPr>
          <w:lang w:val="fr_FR" w:bidi="fr_FR"/>
        </w:rPr>
        <w:t>). Lorsque les gens reçoivent ce message, il continue à agir puissamment en eux (</w:t>
      </w:r>
      <w:hyperlink r:id="rId27">
        <w:r>
          <w:rPr>
            <w:lang w:val="fr_FR" w:bidi="fr_FR"/>
          </w:rPr>
          <w:rPr>
            <w:color w:val="0000EE"/>
            <w:u w:val="single"/>
          </w:rPr>
          <w:t>2.13</w:t>
        </w:r>
      </w:hyperlink>
      <w:r>
        <w:rPr>
          <w:lang w:val="fr_FR" w:bidi="fr_FR"/>
        </w:rPr>
        <w:t>). Une conversion authentique signifie se tourner vers le vrai Dieu dans la repentance et le servir en attendant le retour de son Fils du ciel (</w:t>
      </w:r>
      <w:hyperlink r:id="rId55">
        <w:r>
          <w:rPr>
            <w:lang w:val="fr_FR" w:bidi="fr_FR"/>
          </w:rPr>
          <w:rPr>
            <w:color w:val="0000EE"/>
            <w:u w:val="single"/>
          </w:rPr>
          <w:t>1.9–10</w:t>
        </w:r>
      </w:hyperlink>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hyperlink r:id="rId56">
        <w:r>
          <w:rPr>
            <w:lang w:val="fr_FR" w:bidi="fr_FR"/>
          </w:rPr>
          <w:rPr>
            <w:color w:val="0000EE"/>
            <w:u w:val="single"/>
          </w:rPr>
          <w:t>3.8</w:t>
        </w:r>
      </w:hyperlink>
      <w:r>
        <w:rPr>
          <w:lang w:val="fr_FR" w:bidi="fr_FR"/>
        </w:rPr>
        <w:t xml:space="preserve">, </w:t>
      </w:r>
      <w:hyperlink r:id="rId57">
        <w:r>
          <w:rPr>
            <w:lang w:val="fr_FR" w:bidi="fr_FR"/>
          </w:rPr>
          <w:rPr>
            <w:color w:val="0000EE"/>
            <w:u w:val="single"/>
          </w:rPr>
          <w:t>13</w:t>
        </w:r>
      </w:hyperlink>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hyperlink r:id="rId58">
        <w:r>
          <w:rPr>
            <w:lang w:val="fr_FR" w:bidi="fr_FR"/>
          </w:rPr>
          <w:rPr>
            <w:color w:val="0000EE"/>
            <w:u w:val="single"/>
          </w:rPr>
          <w:t>4.3–8</w:t>
        </w:r>
      </w:hyperlink>
      <w:r>
        <w:rPr>
          <w:lang w:val="fr_FR" w:bidi="fr_FR"/>
        </w:rPr>
        <w:t>). Ils ne comprenaient pas non plus que leur croyance en la résurrection du Christ était leur source d’espoir face à la dure réalité de la mort (</w:t>
      </w:r>
      <w:hyperlink r:id="rId37">
        <w:r>
          <w:rPr>
            <w:lang w:val="fr_FR" w:bidi="fr_FR"/>
          </w:rPr>
          <w:rPr>
            <w:color w:val="0000EE"/>
            <w:u w:val="single"/>
          </w:rPr>
          <w:t>4.13–18</w:t>
        </w:r>
      </w:hyperlink>
      <w:r>
        <w:rPr>
          <w:lang w:val="fr_FR" w:bidi="fr_FR"/>
        </w:rPr>
        <w:t>). Ils ne savaient pas quand le Christ reviendrait (</w:t>
      </w:r>
      <w:hyperlink r:id="rId38">
        <w:r>
          <w:rPr>
            <w:lang w:val="fr_FR" w:bidi="fr_FR"/>
          </w:rPr>
          <w:rPr>
            <w:color w:val="0000EE"/>
            <w:u w:val="single"/>
          </w:rPr>
          <w:t>5.1–11</w:t>
        </w:r>
      </w:hyperlink>
      <w:r>
        <w:rPr>
          <w:lang w:val="fr_FR" w:bidi="fr_FR"/>
        </w:rPr>
        <w:t>). Certains dans l’Église ne tenaient pas compte de l’enseignement de Paul sur le travail (</w:t>
      </w:r>
      <w:hyperlink r:id="rId59">
        <w:r>
          <w:rPr>
            <w:lang w:val="fr_FR" w:bidi="fr_FR"/>
          </w:rPr>
          <w:rPr>
            <w:color w:val="0000EE"/>
            <w:u w:val="single"/>
          </w:rPr>
          <w:t>4.11</w:t>
        </w:r>
      </w:hyperlink>
      <w:r>
        <w:rPr>
          <w:lang w:val="fr_FR" w:bidi="fr_FR"/>
        </w:rPr>
        <w:t xml:space="preserve"> ; </w:t>
      </w:r>
      <w:hyperlink r:id="rId35">
        <w:r>
          <w:rPr>
            <w:lang w:val="fr_FR" w:bidi="fr_FR"/>
          </w:rPr>
          <w:rPr>
            <w:color w:val="0000EE"/>
            <w:u w:val="single"/>
          </w:rPr>
          <w:t>5.14</w:t>
        </w:r>
      </w:hyperlink>
      <w:r>
        <w:rPr>
          <w:lang w:val="fr_FR" w:bidi="fr_FR"/>
        </w:rPr>
        <w:t>), et d’autres ne respectaient pas correctement les nouveaux dirigeants de l’Église (</w:t>
      </w:r>
      <w:hyperlink r:id="rId39">
        <w:r>
          <w:rPr>
            <w:lang w:val="fr_FR" w:bidi="fr_FR"/>
          </w:rPr>
          <w:rPr>
            <w:color w:val="0000EE"/>
            <w:u w:val="single"/>
          </w:rPr>
          <w:t>5.12–13</w:t>
        </w:r>
      </w:hyperlink>
      <w:r>
        <w:rPr>
          <w:lang w:val="fr_FR" w:bidi="fr_FR"/>
        </w:rPr>
        <w:t>). Enfin, certains Thessaloniciens réprimaient la prophétie dans l’Église (</w:t>
      </w:r>
      <w:hyperlink r:id="rId40">
        <w:r>
          <w:rPr>
            <w:lang w:val="fr_FR" w:bidi="fr_FR"/>
          </w:rPr>
          <w:rPr>
            <w:color w:val="0000EE"/>
            <w:u w:val="single"/>
          </w:rPr>
          <w:t>5.19–22</w:t>
        </w:r>
      </w:hyperlink>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hyperlink r:id="rId60">
        <w:r>
          <w:rPr>
            <w:lang w:val="fr_FR" w:bidi="fr_FR"/>
          </w:rPr>
          <w:rPr>
            <w:color w:val="0000EE"/>
            <w:u w:val="single"/>
          </w:rPr>
          <w:t>3.10</w:t>
        </w:r>
      </w:hyperlink>
      <w:r>
        <w:rPr>
          <w:lang w:val="fr_FR" w:bidi="fr_FR"/>
        </w:rPr>
        <w:t>). En fin de compte, chaque dirigeant doit confier les croyants à l’œuvre de Dieu dans leur vie (</w:t>
      </w:r>
      <w:hyperlink r:id="rId61">
        <w:r>
          <w:rPr>
            <w:lang w:val="fr_FR" w:bidi="fr_FR"/>
          </w:rPr>
          <w:rPr>
            <w:color w:val="0000EE"/>
            <w:u w:val="single"/>
          </w:rPr>
          <w:t>5.23</w:t>
        </w:r>
      </w:hyperlink>
      <w:r>
        <w:rPr>
          <w:lang w:val="fr_FR" w:bidi="fr_FR"/>
        </w:rPr>
        <w:t>), car il est fidèle (</w:t>
      </w:r>
      <w:hyperlink r:id="rId62">
        <w:r>
          <w:rPr>
            <w:lang w:val="fr_FR" w:bidi="fr_FR"/>
          </w:rPr>
          <w:rPr>
            <w:color w:val="0000EE"/>
            <w:u w:val="single"/>
          </w:rPr>
          <w:t>5.24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