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3">
        <w:r>
          <w:rPr>
            <w:lang w:val="id_ID" w:bidi="id_ID"/>
          </w:rPr>
          <w:rPr>
            <w:color w:val="0000EE"/>
            <w:u w:val="single"/>
          </w:rPr>
          <w:t>Dan. 1: 1–5</w:t>
        </w:r>
      </w:hyperlink>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hyperlink r:id="rId14">
        <w:r>
          <w:rPr>
            <w:lang w:val="id_ID" w:bidi="id_ID"/>
          </w:rPr>
          <w:rPr>
            <w:color w:val="0000EE"/>
            <w:u w:val="single"/>
          </w:rPr>
          <w:t>1:1–2</w:t>
        </w:r>
      </w:hyperlink>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hyperlink r:id="rId15">
        <w:r>
          <w:rPr>
            <w:lang w:val="id_ID" w:bidi="id_ID"/>
          </w:rPr>
          <w:rPr>
            <w:color w:val="0000EE"/>
            <w:u w:val="single"/>
          </w:rPr>
          <w:t>Pasal 1–3</w:t>
        </w:r>
      </w:hyperlink>
      <w:r>
        <w:rPr>
          <w:lang w:val="id_ID" w:bidi="id_ID"/>
        </w:rPr>
        <w:t xml:space="preserve"> menceritakan tentang panggilan dan pengutusan Yehezkiel sebagai seorang nabi. Penglihatan pembukaannya menceritakan tentang kemuliaan Tuhan, yang secara tidak menyenangkan sedang bergerak (</w:t>
      </w:r>
      <w:hyperlink r:id="rId16">
        <w:r>
          <w:rPr>
            <w:lang w:val="id_ID" w:bidi="id_ID"/>
          </w:rPr>
          <w:rPr>
            <w:color w:val="0000EE"/>
            <w:u w:val="single"/>
          </w:rPr>
          <w:t>1:4–28</w:t>
        </w:r>
      </w:hyperlink>
      <w:r>
        <w:rPr>
          <w:lang w:val="id_ID" w:bidi="id_ID"/>
        </w:rPr>
        <w:t>). Dengan gambaran berupa gerakan dan penghakiman, penglihatan itu menggambarkan Tuhan sebagai pejuang ilahi dalam kereta surgawinya, datang untuk menghakimi umat-Nya. Selama pemanggilan Yehezkiel (</w:t>
      </w:r>
      <w:hyperlink r:id="rId17">
        <w:r>
          <w:rPr>
            <w:lang w:val="id_ID" w:bidi="id_ID"/>
          </w:rPr>
          <w:rPr>
            <w:color w:val="0000EE"/>
            <w:u w:val="single"/>
          </w:rPr>
          <w:t>2:1–3:15</w:t>
        </w:r>
      </w:hyperlink>
      <w:r>
        <w:rPr>
          <w:lang w:val="id_ID" w:bidi="id_ID"/>
        </w:rPr>
        <w:t>), Roh Kudus memberitahunya bahwa orang Yehuda yang keras kepala dan pemberontak tidak akan mendengarkan pesannya. Namun, Tuhan ingin Yehezkiel sama keras kepalanya dalam menyampaikan pesan-Nya dengan setia. Seperti seorang penjaga (</w:t>
      </w:r>
      <w:hyperlink r:id="rId18">
        <w:r>
          <w:rPr>
            <w:lang w:val="id_ID" w:bidi="id_ID"/>
          </w:rPr>
          <w:rPr>
            <w:color w:val="0000EE"/>
            <w:u w:val="single"/>
          </w:rPr>
          <w:t>3:16–27</w:t>
        </w:r>
      </w:hyperlink>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hyperlink r:id="rId19">
        <w:r>
          <w:rPr>
            <w:lang w:val="id_ID" w:bidi="id_ID"/>
          </w:rPr>
          <w:rPr>
            <w:color w:val="0000EE"/>
            <w:u w:val="single"/>
          </w:rPr>
          <w:t>pasal 4–24</w:t>
        </w:r>
      </w:hyperlink>
      <w:r>
        <w:rPr>
          <w:lang w:val="id_ID" w:bidi="id_ID"/>
        </w:rPr>
        <w:t xml:space="preserve">, Yehezkiel menyampaikan serangkaian malapetaka terhadap Yehuda dan Yerusalem. Nabi itu melakukan serangkaian tindakan simbolik yang menggambarkan pengepungan dan kehancuran Yerusalem yang akan datang. </w:t>
      </w:r>
      <w:hyperlink r:id="rId20">
        <w:r>
          <w:rPr>
            <w:lang w:val="id_ID" w:bidi="id_ID"/>
          </w:rPr>
          <w:rPr>
            <w:color w:val="0000EE"/>
            <w:u w:val="single"/>
          </w:rPr>
          <w:t>Pasal 8–11</w:t>
        </w:r>
      </w:hyperlink>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1">
        <w:r>
          <w:rPr>
            <w:lang w:val="id_ID" w:bidi="id_ID"/>
          </w:rPr>
          <w:rPr>
            <w:color w:val="0000EE"/>
            <w:u w:val="single"/>
          </w:rPr>
          <w:t>psl. 24</w:t>
        </w:r>
      </w:hyperlink>
      <w:r>
        <w:rPr>
          <w:lang w:val="id_ID" w:bidi="id_ID"/>
        </w:rPr>
        <w:t>).</w:t>
      </w:r>
    </w:p>
    <w:p>
      <w:pPr/>
      <w:r>
        <w:rPr>
          <w:lang w:val="id_ID" w:bidi="id_ID"/>
        </w:rPr>
      </w:r>
      <w:r>
        <w:rPr>
          <w:lang w:val="id_ID" w:bidi="id_ID"/>
        </w:rPr>
        <w:t>Kemudian Yehezkiel beralih ke harapan, dimulai dengan tujuh pesan (</w:t>
      </w:r>
      <w:hyperlink r:id="rId22">
        <w:r>
          <w:rPr>
            <w:lang w:val="id_ID" w:bidi="id_ID"/>
          </w:rPr>
          <w:rPr>
            <w:color w:val="0000EE"/>
            <w:u w:val="single"/>
          </w:rPr>
          <w:t>psl. 25–32</w:t>
        </w:r>
      </w:hyperlink>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3">
        <w:r>
          <w:rPr>
            <w:lang w:val="id_ID" w:bidi="id_ID"/>
          </w:rPr>
          <w:rPr>
            <w:color w:val="0000EE"/>
            <w:u w:val="single"/>
          </w:rPr>
          <w:t>Kej. 12:3</w:t>
        </w:r>
      </w:hyperlink>
      <w:r>
        <w:rPr>
          <w:lang w:val="id_ID" w:bidi="id_ID"/>
        </w:rPr>
        <w:t>). Penghakiman Allah akan menimpa semua yang bersukacita atas kejatuhan umat-Nya dan yang mengambil keuntungan dari kehancuran mereka.</w:t>
      </w:r>
    </w:p>
    <w:p>
      <w:pPr/>
      <w:r>
        <w:rPr>
          <w:lang w:val="id_ID" w:bidi="id_ID"/>
        </w:rPr>
      </w:r>
      <w:hyperlink r:id="rId24">
        <w:r>
          <w:rPr>
            <w:lang w:val="id_ID" w:bidi="id_ID"/>
          </w:rPr>
          <w:rPr>
            <w:color w:val="0000EE"/>
            <w:u w:val="single"/>
          </w:rPr>
          <w:t>Pasal 33–48</w:t>
        </w:r>
      </w:hyperlink>
      <w:r>
        <w:rPr>
          <w:lang w:val="id_ID" w:bidi="id_ID"/>
        </w:rPr>
        <w:t xml:space="preserve"> melengkapi perpindahan dari penghakiman ke harapan, dimulai dengan momen penting ketika para buangan akhirnya mendengar berita tentang kehancuran Yerusalem (</w:t>
      </w:r>
      <w:hyperlink r:id="rId25">
        <w:r>
          <w:rPr>
            <w:lang w:val="id_ID" w:bidi="id_ID"/>
          </w:rPr>
          <w:rPr>
            <w:color w:val="0000EE"/>
            <w:u w:val="single"/>
          </w:rPr>
          <w:t>33:21</w:t>
        </w:r>
      </w:hyperlink>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6">
        <w:r>
          <w:rPr>
            <w:lang w:val="id_ID" w:bidi="id_ID"/>
          </w:rPr>
          <w:rPr>
            <w:color w:val="0000EE"/>
            <w:u w:val="single"/>
          </w:rPr>
          <w:t>psl. 34–37</w:t>
        </w:r>
      </w:hyperlink>
      <w:r>
        <w:rPr>
          <w:lang w:val="id_ID" w:bidi="id_ID"/>
        </w:rPr>
        <w:t>). Awan gelap perang mengancam gambaran berkat ini (</w:t>
      </w:r>
      <w:hyperlink r:id="rId27">
        <w:r>
          <w:rPr>
            <w:lang w:val="id_ID" w:bidi="id_ID"/>
          </w:rPr>
          <w:rPr>
            <w:color w:val="0000EE"/>
            <w:u w:val="single"/>
          </w:rPr>
          <w:t>psl. 38–39</w:t>
        </w:r>
      </w:hyperlink>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hyperlink r:id="rId28">
        <w:r>
          <w:rPr>
            <w:lang w:val="id_ID" w:bidi="id_ID"/>
          </w:rPr>
          <w:rPr>
            <w:color w:val="0000EE"/>
            <w:u w:val="single"/>
          </w:rPr>
          <w:t>psl. 40–48</w:t>
        </w:r>
      </w:hyperlink>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hyperlink r:id="rId29">
        <w:r>
          <w:rPr>
            <w:lang w:val="id_ID" w:bidi="id_ID"/>
          </w:rPr>
          <w:rPr>
            <w:color w:val="0000EE"/>
            <w:u w:val="single"/>
          </w:rPr>
          <w:t>1:3</w:t>
        </w:r>
      </w:hyperlink>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0">
        <w:r>
          <w:rPr>
            <w:lang w:val="id_ID" w:bidi="id_ID"/>
          </w:rPr>
          <w:rPr>
            <w:color w:val="0000EE"/>
            <w:u w:val="single"/>
          </w:rPr>
          <w:t>33:10</w:t>
        </w:r>
      </w:hyperlink>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1">
        <w:r>
          <w:rPr>
            <w:lang w:val="id_ID" w:bidi="id_ID"/>
          </w:rPr>
          <w:rPr>
            <w:color w:val="0000EE"/>
            <w:u w:val="single"/>
          </w:rPr>
          <w:t>11:16</w:t>
        </w:r>
      </w:hyperlink>
      <w:r>
        <w:rPr>
          <w:lang w:val="id_ID" w:bidi="id_ID"/>
        </w:rPr>
        <w:t>), di mana Yehezkiel sendiri pertama kali melihat kemuliaan Tuhan (</w:t>
      </w:r>
      <w:hyperlink r:id="rId32">
        <w:r>
          <w:rPr>
            <w:lang w:val="id_ID" w:bidi="id_ID"/>
          </w:rPr>
          <w:rPr>
            <w:color w:val="0000EE"/>
            <w:u w:val="single"/>
          </w:rPr>
          <w:t>1:1</w:t>
        </w:r>
      </w:hyperlink>
      <w:r>
        <w:rPr>
          <w:lang w:val="id_ID" w:bidi="id_ID"/>
        </w:rPr>
        <w:t>). Allah masih mengendalikan semua hal, bahkan upaya raja Nebukadnezar Babel untuk berkonsultasi dengan dewanya sendiri melalui peramalan (</w:t>
      </w:r>
      <w:hyperlink r:id="rId33">
        <w:r>
          <w:rPr>
            <w:lang w:val="id_ID" w:bidi="id_ID"/>
          </w:rPr>
          <w:rPr>
            <w:color w:val="0000EE"/>
            <w:u w:val="single"/>
          </w:rPr>
          <w:t>21:21–23</w:t>
        </w:r>
      </w:hyperlink>
      <w:r>
        <w:rPr>
          <w:lang w:val="id_ID" w:bidi="id_ID"/>
        </w:rPr>
        <w:t xml:space="preserve">; bandingkan Dan. </w:t>
      </w:r>
      <w:hyperlink r:id="rId34">
        <w:r>
          <w:rPr>
            <w:lang w:val="id_ID" w:bidi="id_ID"/>
          </w:rPr>
          <w:rPr>
            <w:color w:val="0000EE"/>
            <w:u w:val="single"/>
          </w:rPr>
          <w:t>2–4</w:t>
        </w:r>
      </w:hyperlink>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2">
        <w:r>
          <w:rPr>
            <w:lang w:val="id_ID" w:bidi="id_ID"/>
          </w:rPr>
          <w:rPr>
            <w:color w:val="0000EE"/>
            <w:u w:val="single"/>
          </w:rPr>
          <w:t>Yeh 25–32</w:t>
        </w:r>
      </w:hyperlink>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hyperlink r:id="rId35">
        <w:r>
          <w:rPr>
            <w:lang w:val="id_ID" w:bidi="id_ID"/>
          </w:rPr>
          <w:rPr>
            <w:color w:val="0000EE"/>
            <w:u w:val="single"/>
          </w:rPr>
          <w:t>34:11</w:t>
        </w:r>
      </w:hyperlink>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hyperlink r:id="rId31">
        <w:r>
          <w:rPr>
            <w:lang w:val="id_ID" w:bidi="id_ID"/>
          </w:rPr>
          <w:rPr>
            <w:color w:val="0000EE"/>
            <w:u w:val="single"/>
          </w:rPr>
          <w:t>11:16</w:t>
        </w:r>
      </w:hyperlink>
      <w:r>
        <w:rPr>
          <w:lang w:val="id_ID" w:bidi="id_ID"/>
        </w:rPr>
        <w:t xml:space="preserve">; </w:t>
      </w:r>
      <w:hyperlink r:id="rId36">
        <w:r>
          <w:rPr>
            <w:lang w:val="id_ID" w:bidi="id_ID"/>
          </w:rPr>
          <w:rPr>
            <w:color w:val="0000EE"/>
            <w:u w:val="single"/>
          </w:rPr>
          <w:t>43:1–5</w:t>
        </w:r>
      </w:hyperlink>
      <w:r>
        <w:rPr>
          <w:lang w:val="id_ID" w:bidi="id_ID"/>
        </w:rPr>
        <w:t xml:space="preserve">; </w:t>
      </w:r>
      <w:hyperlink r:id="rId37">
        <w:r>
          <w:rPr>
            <w:lang w:val="id_ID" w:bidi="id_ID"/>
          </w:rPr>
          <w:rPr>
            <w:color w:val="0000EE"/>
            <w:u w:val="single"/>
          </w:rPr>
          <w:t>Yohanes 1:14</w:t>
        </w:r>
      </w:hyperlink>
      <w:r>
        <w:rPr>
          <w:lang w:val="id_ID" w:bidi="id_ID"/>
        </w:rPr>
        <w:t xml:space="preserve">). Gembala yang Baik memulihkan keadilan bagi domba-dombanya (Yeh. </w:t>
      </w:r>
      <w:hyperlink r:id="rId38">
        <w:r>
          <w:rPr>
            <w:lang w:val="id_ID" w:bidi="id_ID"/>
          </w:rPr>
          <w:rPr>
            <w:color w:val="0000EE"/>
            <w:u w:val="single"/>
          </w:rPr>
          <w:t>34:1–24</w:t>
        </w:r>
      </w:hyperlink>
      <w:r>
        <w:rPr>
          <w:lang w:val="id_ID" w:bidi="id_ID"/>
        </w:rPr>
        <w:t xml:space="preserve">; </w:t>
      </w:r>
      <w:hyperlink r:id="rId39">
        <w:r>
          <w:rPr>
            <w:lang w:val="id_ID" w:bidi="id_ID"/>
          </w:rPr>
          <w:rPr>
            <w:color w:val="0000EE"/>
            <w:u w:val="single"/>
          </w:rPr>
          <w:t>Yohanes 10:11</w:t>
        </w:r>
      </w:hyperlink>
      <w:r>
        <w:rPr>
          <w:lang w:val="id_ID" w:bidi="id_ID"/>
        </w:rPr>
        <w:t>). Dia memenuhi kita dengan Roh-Nya dan menjadikan kita ciptaan baru di dalam Dia (</w:t>
      </w:r>
      <w:hyperlink r:id="rId40">
        <w:r>
          <w:rPr>
            <w:lang w:val="id_ID" w:bidi="id_ID"/>
          </w:rPr>
          <w:rPr>
            <w:color w:val="0000EE"/>
            <w:u w:val="single"/>
          </w:rPr>
          <w:t>Yeh 36:26–28</w:t>
        </w:r>
      </w:hyperlink>
      <w:r>
        <w:rPr>
          <w:lang w:val="id_ID" w:bidi="id_ID"/>
        </w:rPr>
        <w:t xml:space="preserve">; </w:t>
      </w:r>
      <w:hyperlink r:id="rId41">
        <w:r>
          <w:rPr>
            <w:lang w:val="id_ID" w:bidi="id_ID"/>
          </w:rPr>
          <w:rPr>
            <w:color w:val="0000EE"/>
            <w:u w:val="single"/>
          </w:rPr>
          <w:t>37:1–14</w:t>
        </w:r>
      </w:hyperlink>
      <w:r>
        <w:rPr>
          <w:lang w:val="id_ID" w:bidi="id_ID"/>
        </w:rPr>
        <w:t xml:space="preserve">; 2 Korintus </w:t>
      </w:r>
      <w:hyperlink r:id="rId42">
        <w:r>
          <w:rPr>
            <w:lang w:val="id_ID" w:bidi="id_ID"/>
          </w:rPr>
          <w:rPr>
            <w:color w:val="0000EE"/>
            <w:u w:val="single"/>
          </w:rPr>
          <w:t>5:17</w:t>
        </w:r>
      </w:hyperlink>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3">
        <w:r>
          <w:rPr>
            <w:lang w:val="id_ID" w:bidi="id_ID"/>
          </w:rPr>
          <w:rPr>
            <w:color w:val="0000EE"/>
            <w:u w:val="single"/>
          </w:rPr>
          <w:t>Yeh. 47:1–11</w:t>
        </w:r>
      </w:hyperlink>
      <w:r>
        <w:rPr>
          <w:lang w:val="id_ID" w:bidi="id_ID"/>
        </w:rPr>
        <w:t xml:space="preserve">; </w:t>
      </w:r>
      <w:hyperlink r:id="rId44">
        <w:r>
          <w:rPr>
            <w:lang w:val="id_ID" w:bidi="id_ID"/>
          </w:rPr>
          <w:rPr>
            <w:color w:val="0000EE"/>
            <w:u w:val="single"/>
          </w:rPr>
          <w:t>Why. 22:1–5</w:t>
        </w:r>
      </w:hyperlink>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