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hyperlink r:id="rId13">
        <w:r>
          <w:rPr>
            <w:lang w:val="id_ID" w:bidi="id_ID"/>
          </w:rPr>
          <w:rPr>
            <w:color w:val="0000EE"/>
            <w:u w:val="single"/>
          </w:rPr>
          <w:t>Kis. 2:11</w:t>
        </w:r>
      </w:hyperlink>
      <w:r>
        <w:rPr>
          <w:lang w:val="id_ID" w:bidi="id_ID"/>
        </w:rPr>
        <w:t xml:space="preserve">). Beberapa dari mereka mungkin membawa pulang agama Kristen ke pulau itu tetapi surat kepada Timotius ini menunjukkan bahwa jemaat di Kreta baru saja didirikan sebagai hasil dari pelayanan misi Paulus (baca </w:t>
      </w:r>
      <w:hyperlink r:id="rId14">
        <w:r>
          <w:rPr>
            <w:lang w:val="id_ID" w:bidi="id_ID"/>
          </w:rPr>
          <w:rPr>
            <w:color w:val="0000EE"/>
            <w:u w:val="single"/>
          </w:rPr>
          <w:t>Tit. 1:5</w:t>
        </w:r>
      </w:hyperlink>
      <w:r>
        <w:rPr>
          <w:lang w:val="id_ID" w:bidi="id_ID"/>
        </w:rPr>
        <w:t>). Satu-satunya penyebutan lain tentang Kreta di dalam Perjanjian Baru terjadi pada waktu Paulus dipindahkan ke kota Roma sebagai tahanan (</w:t>
      </w:r>
      <w:hyperlink r:id="rId15">
        <w:r>
          <w:rPr>
            <w:lang w:val="id_ID" w:bidi="id_ID"/>
          </w:rPr>
          <w:rPr>
            <w:color w:val="0000EE"/>
            <w:u w:val="single"/>
          </w:rPr>
          <w:t>Kis. 27:7–21</w:t>
        </w:r>
      </w:hyperlink>
      <w:r>
        <w:rPr>
          <w:lang w:val="id_ID" w:bidi="id_ID"/>
        </w:rPr>
        <w:t xml:space="preserve">). Paulus tidak sempat melakukan pelayanan secara aktif di Kreta pada waktu itu. Kemungkinan besar, pekerjaan Paulus di Kreta dimulai setelah peristiwa-peristiwa di dalam </w:t>
      </w:r>
      <w:hyperlink r:id="rId16">
        <w:r>
          <w:rPr>
            <w:lang w:val="id_ID" w:bidi="id_ID"/>
          </w:rPr>
          <w:rPr>
            <w:color w:val="0000EE"/>
            <w:u w:val="single"/>
          </w:rPr>
          <w:t>Kisah Para Rasul 28:1–31</w:t>
        </w:r>
      </w:hyperlink>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7">
        <w:r>
          <w:rPr>
            <w:lang w:val="id_ID" w:bidi="id_ID"/>
          </w:rPr>
          <w:rPr>
            <w:color w:val="0000EE"/>
            <w:u w:val="single"/>
          </w:rPr>
          <w:t>Kis. 14:23</w:t>
        </w:r>
      </w:hyperlink>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18">
        <w:r>
          <w:rPr>
            <w:lang w:val="id_ID" w:bidi="id_ID"/>
          </w:rPr>
          <w:rPr>
            <w:color w:val="0000EE"/>
            <w:u w:val="single"/>
          </w:rPr>
          <w:t>Tit. 3:12</w:t>
        </w:r>
      </w:hyperlink>
      <w:r>
        <w:rPr>
          <w:lang w:val="id_ID" w:bidi="id_ID"/>
        </w:rPr>
        <w:t xml:space="preserve">). Rencana Paulus menghabiskan musim dingin di Nikopolis menunjukkan bahwa ia berencana berlayar ke arah barat dari sana ketika musim semi tiba (baca </w:t>
      </w:r>
      <w:hyperlink r:id="rId19">
        <w:r>
          <w:rPr>
            <w:lang w:val="id_ID" w:bidi="id_ID"/>
          </w:rPr>
          <w:rPr>
            <w:color w:val="0000EE"/>
            <w:u w:val="single"/>
          </w:rPr>
          <w:t>2Tim. 4:21</w:t>
        </w:r>
      </w:hyperlink>
      <w:r>
        <w:rPr>
          <w:lang w:val="id_ID" w:bidi="id_ID"/>
        </w:rPr>
        <w:t xml:space="preserve">), mungkin menuju Italia atau Spanyol (baca </w:t>
      </w:r>
      <w:hyperlink r:id="rId20">
        <w:r>
          <w:rPr>
            <w:lang w:val="id_ID" w:bidi="id_ID"/>
          </w:rPr>
          <w:rPr>
            <w:color w:val="0000EE"/>
            <w:u w:val="single"/>
          </w:rPr>
          <w:t>Rm. 15:24</w:t>
        </w:r>
      </w:hyperlink>
      <w:r>
        <w:rPr>
          <w:lang w:val="id_ID" w:bidi="id_ID"/>
        </w:rPr>
        <w:t xml:space="preserve">, </w:t>
      </w:r>
      <w:hyperlink r:id="rId21">
        <w:r>
          <w:rPr>
            <w:lang w:val="id_ID" w:bidi="id_ID"/>
          </w:rPr>
          <w:rPr>
            <w:color w:val="0000EE"/>
            <w:u w:val="single"/>
          </w:rPr>
          <w:t>28</w:t>
        </w:r>
      </w:hyperlink>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hyperlink r:id="rId22">
        <w:r>
          <w:rPr>
            <w:lang w:val="id_ID" w:bidi="id_ID"/>
          </w:rPr>
          <w:rPr>
            <w:color w:val="0000EE"/>
            <w:u w:val="single"/>
          </w:rPr>
          <w:t>1:5–3:11</w:t>
        </w:r>
      </w:hyperlink>
      <w:r>
        <w:rPr>
          <w:lang w:val="id_ID" w:bidi="id_ID"/>
        </w:rPr>
        <w:t>) tersusun dalam pola perintah, alasan, dan tuntutan. Paulus terus-menerus mengulangi pola ini ketika membahas tentang pengangkatan penatua (</w:t>
      </w:r>
      <w:hyperlink r:id="rId23">
        <w:r>
          <w:rPr>
            <w:lang w:val="id_ID" w:bidi="id_ID"/>
          </w:rPr>
          <w:rPr>
            <w:color w:val="0000EE"/>
            <w:u w:val="single"/>
          </w:rPr>
          <w:t>1:5–16</w:t>
        </w:r>
      </w:hyperlink>
      <w:r>
        <w:rPr>
          <w:lang w:val="id_ID" w:bidi="id_ID"/>
        </w:rPr>
        <w:t>), sikap dan perilaku yang tepat di antara sesama anggota keluarga gerejawi (</w:t>
      </w:r>
      <w:hyperlink r:id="rId24">
        <w:r>
          <w:rPr>
            <w:lang w:val="id_ID" w:bidi="id_ID"/>
          </w:rPr>
          <w:rPr>
            <w:color w:val="0000EE"/>
            <w:u w:val="single"/>
          </w:rPr>
          <w:t>2:1–15</w:t>
        </w:r>
      </w:hyperlink>
      <w:r>
        <w:rPr>
          <w:lang w:val="id_ID" w:bidi="id_ID"/>
        </w:rPr>
        <w:t>), atau sikap dan perilaku yang tepat dalam masyarakat (</w:t>
      </w:r>
      <w:hyperlink r:id="rId25">
        <w:r>
          <w:rPr>
            <w:lang w:val="id_ID" w:bidi="id_ID"/>
          </w:rPr>
          <w:rPr>
            <w:color w:val="0000EE"/>
            <w:u w:val="single"/>
          </w:rPr>
          <w:t>3:1–11</w:t>
        </w:r>
      </w:hyperlink>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hyperlink r:id="rId26">
        <w:r>
          <w:rPr>
            <w:lang w:val="id_ID" w:bidi="id_ID"/>
          </w:rPr>
          <w:rPr>
            <w:color w:val="0000EE"/>
            <w:u w:val="single"/>
          </w:rPr>
          <w:t>Kisah Para Rasul 21</w:t>
        </w:r>
      </w:hyperlink>
      <w:r>
        <w:rPr>
          <w:lang w:val="id_ID" w:bidi="id_ID"/>
        </w:rPr>
        <w:t xml:space="preserve">, tetapi tahun penulisan setelah ia dipenjara, menurut </w:t>
      </w:r>
      <w:hyperlink r:id="rId16">
        <w:r>
          <w:rPr>
            <w:lang w:val="id_ID" w:bidi="id_ID"/>
          </w:rPr>
          <w:rPr>
            <w:color w:val="0000EE"/>
            <w:u w:val="single"/>
          </w:rPr>
          <w:t>Kisah Para Rasul 28</w:t>
        </w:r>
      </w:hyperlink>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hyperlink r:id="rId27">
        <w:r>
          <w:rPr>
            <w:lang w:val="id_ID" w:bidi="id_ID"/>
          </w:rPr>
          <w:rPr>
            <w:color w:val="0000EE"/>
            <w:u w:val="single"/>
          </w:rPr>
          <w:t>2:13</w:t>
        </w:r>
      </w:hyperlink>
      <w:r>
        <w:rPr>
          <w:lang w:val="id_ID" w:bidi="id_ID"/>
        </w:rPr>
        <w:t>)—dan menawarkan keselamatan hanya karena belas kasihan (</w:t>
      </w:r>
      <w:hyperlink r:id="rId28">
        <w:r>
          <w:rPr>
            <w:lang w:val="id_ID" w:bidi="id_ID"/>
          </w:rPr>
          <w:rPr>
            <w:color w:val="0000EE"/>
            <w:u w:val="single"/>
          </w:rPr>
          <w:t>3:5</w:t>
        </w:r>
      </w:hyperlink>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hyperlink r:id="rId29">
        <w:r>
          <w:rPr>
            <w:lang w:val="id_ID" w:bidi="id_ID"/>
          </w:rPr>
          <w:rPr>
            <w:color w:val="0000EE"/>
            <w:u w:val="single"/>
          </w:rPr>
          <w:t>Tit. 1:10–16</w:t>
        </w:r>
      </w:hyperlink>
      <w:r>
        <w:rPr>
          <w:lang w:val="id_ID" w:bidi="id_ID"/>
        </w:rPr>
        <w:t xml:space="preserve">) menunjukkan bahwa ajaran-ajaran yang mirip sedang dihadapi di kedua tempat (baca </w:t>
      </w:r>
      <w:hyperlink r:id="rId30">
        <w:r>
          <w:rPr>
            <w:lang w:val="id_ID" w:bidi="id_ID"/>
          </w:rPr>
          <w:rPr>
            <w:color w:val="0000EE"/>
            <w:u w:val="single"/>
          </w:rPr>
          <w:t>1Tim. 1:4–7</w:t>
        </w:r>
      </w:hyperlink>
      <w:r>
        <w:rPr>
          <w:lang w:val="id_ID" w:bidi="id_ID"/>
        </w:rPr>
        <w:t xml:space="preserve">; </w:t>
      </w:r>
      <w:hyperlink r:id="rId31">
        <w:r>
          <w:rPr>
            <w:lang w:val="id_ID" w:bidi="id_ID"/>
          </w:rPr>
          <w:rPr>
            <w:color w:val="0000EE"/>
            <w:u w:val="single"/>
          </w:rPr>
          <w:t>4:1–4</w:t>
        </w:r>
      </w:hyperlink>
      <w:r>
        <w:rPr>
          <w:lang w:val="id_ID" w:bidi="id_ID"/>
        </w:rPr>
        <w:t xml:space="preserve">; </w:t>
      </w:r>
      <w:hyperlink r:id="rId32">
        <w:r>
          <w:rPr>
            <w:lang w:val="id_ID" w:bidi="id_ID"/>
          </w:rPr>
          <w:rPr>
            <w:color w:val="0000EE"/>
            <w:u w:val="single"/>
          </w:rPr>
          <w:t>2Tim. 3:1–7</w:t>
        </w:r>
      </w:hyperlink>
      <w:r>
        <w:rPr>
          <w:lang w:val="id_ID" w:bidi="id_ID"/>
        </w:rPr>
        <w:t xml:space="preserve">; </w:t>
      </w:r>
      <w:hyperlink r:id="rId33">
        <w:r>
          <w:rPr>
            <w:lang w:val="id_ID" w:bidi="id_ID"/>
          </w:rPr>
          <w:rPr>
            <w:color w:val="0000EE"/>
            <w:u w:val="single"/>
          </w:rPr>
          <w:t>4:3–4</w:t>
        </w:r>
      </w:hyperlink>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4">
        <w:r>
          <w:rPr>
            <w:lang w:val="id_ID" w:bidi="id_ID"/>
          </w:rPr>
          <w:rPr>
            <w:color w:val="0000EE"/>
            <w:u w:val="single"/>
          </w:rPr>
          <w:t>1Tim. 5:3–16</w:t>
        </w:r>
      </w:hyperlink>
      <w:r>
        <w:rPr>
          <w:lang w:val="id_ID" w:bidi="id_ID"/>
        </w:rPr>
        <w:t>) dan para diaken (</w:t>
      </w:r>
      <w:hyperlink r:id="rId35">
        <w:r>
          <w:rPr>
            <w:lang w:val="id_ID" w:bidi="id_ID"/>
          </w:rPr>
          <w:rPr>
            <w:color w:val="0000EE"/>
            <w:u w:val="single"/>
          </w:rPr>
          <w:t>1Tim. 3:8–13</w:t>
        </w:r>
      </w:hyperlink>
      <w:r>
        <w:rPr>
          <w:lang w:val="id_ID" w:bidi="id_ID"/>
        </w:rPr>
        <w:t xml:space="preserve">). Perbedaan dalam hal pembuat onar mungkin bertanggung jawab atas tidak adanya topik tentang guru-guru perempuan (baca </w:t>
      </w:r>
      <w:hyperlink r:id="rId36">
        <w:r>
          <w:rPr>
            <w:lang w:val="id_ID" w:bidi="id_ID"/>
          </w:rPr>
          <w:rPr>
            <w:color w:val="0000EE"/>
            <w:u w:val="single"/>
          </w:rPr>
          <w:t>1Tim. 2:11–15</w:t>
        </w:r>
      </w:hyperlink>
      <w:r>
        <w:rPr>
          <w:lang w:val="id_ID" w:bidi="id_ID"/>
        </w:rPr>
        <w:t>). Kriteria para pemimpin (</w:t>
      </w:r>
      <w:hyperlink r:id="rId37">
        <w:r>
          <w:rPr>
            <w:lang w:val="id_ID" w:bidi="id_ID"/>
          </w:rPr>
          <w:rPr>
            <w:color w:val="0000EE"/>
            <w:u w:val="single"/>
          </w:rPr>
          <w:t>Tit. 1:6–9</w:t>
        </w:r>
      </w:hyperlink>
      <w:r>
        <w:rPr>
          <w:lang w:val="id_ID" w:bidi="id_ID"/>
        </w:rPr>
        <w:t xml:space="preserve">), dan standar sikap dan perilaku anggota komunitas (baca </w:t>
      </w:r>
      <w:hyperlink r:id="rId38">
        <w:r>
          <w:rPr>
            <w:lang w:val="id_ID" w:bidi="id_ID"/>
          </w:rPr>
          <w:rPr>
            <w:color w:val="0000EE"/>
            <w:u w:val="single"/>
          </w:rPr>
          <w:t>2:1–10</w:t>
        </w:r>
      </w:hyperlink>
      <w:r>
        <w:rPr>
          <w:lang w:val="id_ID" w:bidi="id_ID"/>
        </w:rPr>
        <w:t>), mungkin mewakili standar yang merosot untuk mengakomodasi petobat-petobat baru dari latar belakang budaya kafir. Terakhir, penekanan pada usaha menjaga sebuah warisan begitu penting di dalam kitab Timotius (</w:t>
      </w:r>
      <w:hyperlink r:id="rId39">
        <w:r>
          <w:rPr>
            <w:lang w:val="id_ID" w:bidi="id_ID"/>
          </w:rPr>
          <w:rPr>
            <w:color w:val="0000EE"/>
            <w:u w:val="single"/>
          </w:rPr>
          <w:t>1Tim. 1:18</w:t>
        </w:r>
      </w:hyperlink>
      <w:r>
        <w:rPr>
          <w:lang w:val="id_ID" w:bidi="id_ID"/>
        </w:rPr>
        <w:t xml:space="preserve">; </w:t>
      </w:r>
      <w:hyperlink r:id="rId40">
        <w:r>
          <w:rPr>
            <w:lang w:val="id_ID" w:bidi="id_ID"/>
          </w:rPr>
          <w:rPr>
            <w:color w:val="0000EE"/>
            <w:u w:val="single"/>
          </w:rPr>
          <w:t>6:20</w:t>
        </w:r>
      </w:hyperlink>
      <w:r>
        <w:rPr>
          <w:lang w:val="id_ID" w:bidi="id_ID"/>
        </w:rPr>
        <w:t xml:space="preserve">; </w:t>
      </w:r>
      <w:hyperlink r:id="rId41">
        <w:r>
          <w:rPr>
            <w:lang w:val="id_ID" w:bidi="id_ID"/>
          </w:rPr>
          <w:rPr>
            <w:color w:val="0000EE"/>
            <w:u w:val="single"/>
          </w:rPr>
          <w:t>2Tim. 1:12–14</w:t>
        </w:r>
      </w:hyperlink>
      <w:r>
        <w:rPr>
          <w:lang w:val="id_ID" w:bidi="id_ID"/>
        </w:rPr>
        <w:t xml:space="preserve">; </w:t>
      </w:r>
      <w:hyperlink r:id="rId42">
        <w:r>
          <w:rPr>
            <w:lang w:val="id_ID" w:bidi="id_ID"/>
          </w:rPr>
          <w:rPr>
            <w:color w:val="0000EE"/>
            <w:u w:val="single"/>
          </w:rPr>
          <w:t>2:2</w:t>
        </w:r>
      </w:hyperlink>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3">
        <w:r>
          <w:rPr>
            <w:lang w:val="id_ID" w:bidi="id_ID"/>
          </w:rPr>
          <w:rPr>
            <w:color w:val="0000EE"/>
            <w:u w:val="single"/>
          </w:rPr>
          <w:t>2:10–11</w:t>
        </w:r>
      </w:hyperlink>
      <w:r>
        <w:rPr>
          <w:lang w:val="id_ID" w:bidi="id_ID"/>
        </w:rPr>
        <w:t xml:space="preserve">; </w:t>
      </w:r>
      <w:hyperlink r:id="rId44">
        <w:r>
          <w:rPr>
            <w:lang w:val="id_ID" w:bidi="id_ID"/>
          </w:rPr>
          <w:rPr>
            <w:color w:val="0000EE"/>
            <w:u w:val="single"/>
          </w:rPr>
          <w:t>3:2–3</w:t>
        </w:r>
      </w:hyperlink>
      <w:r>
        <w:rPr>
          <w:lang w:val="id_ID" w:bidi="id_ID"/>
        </w:rPr>
        <w:t xml:space="preserve">, </w:t>
      </w:r>
      <w:hyperlink r:id="rId45">
        <w:r>
          <w:rPr>
            <w:lang w:val="id_ID" w:bidi="id_ID"/>
          </w:rPr>
          <w:rPr>
            <w:color w:val="0000EE"/>
            <w:u w:val="single"/>
          </w:rPr>
          <w:t>8</w:t>
        </w:r>
      </w:hyperlink>
      <w:r>
        <w:rPr>
          <w:lang w:val="id_ID" w:bidi="id_ID"/>
        </w:rPr>
        <w:t xml:space="preserve">; baca </w:t>
      </w:r>
      <w:hyperlink r:id="rId46">
        <w:r>
          <w:rPr>
            <w:lang w:val="id_ID" w:bidi="id_ID"/>
          </w:rPr>
          <w:rPr>
            <w:color w:val="0000EE"/>
            <w:u w:val="single"/>
          </w:rPr>
          <w:t>Mat. 5:14–16</w:t>
        </w:r>
      </w:hyperlink>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4">
        <w:r>
          <w:rPr>
            <w:lang w:val="id_ID" w:bidi="id_ID"/>
          </w:rPr>
          <w:rPr>
            <w:color w:val="0000EE"/>
            <w:u w:val="single"/>
          </w:rPr>
          <w:t>Tit. 2:1–15</w:t>
        </w:r>
      </w:hyperlink>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5">
        <w:r>
          <w:rPr>
            <w:lang w:val="id_ID" w:bidi="id_ID"/>
          </w:rPr>
          <w:rPr>
            <w:color w:val="0000EE"/>
            <w:u w:val="single"/>
          </w:rPr>
          <w:t>3:1–11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