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hyperlink r:id="rId13">
        <w:r>
          <w:rPr>
            <w:lang w:val="pt_PT" w:bidi="pt_PT"/>
          </w:rPr>
          <w:rPr>
            <w:color w:val="0000EE"/>
            <w:u w:val="single"/>
          </w:rPr>
          <w:t>Dn 5</w:t>
        </w:r>
      </w:hyperlink>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4">
        <w:r>
          <w:rPr>
            <w:lang w:val="pt_PT" w:bidi="pt_PT"/>
          </w:rPr>
          <w:rPr>
            <w:color w:val="0000EE"/>
            <w:u w:val="single"/>
          </w:rPr>
          <w:t>Dn 5.30–31</w:t>
        </w:r>
      </w:hyperlink>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hyperlink r:id="rId15">
        <w:r>
          <w:rPr>
            <w:lang w:val="pt_PT" w:bidi="pt_PT"/>
          </w:rPr>
          <w:rPr>
            <w:color w:val="0000EE"/>
            <w:u w:val="single"/>
          </w:rPr>
          <w:t>1Cr 1.1–9.44</w:t>
        </w:r>
      </w:hyperlink>
      <w:r>
        <w:rPr>
          <w:lang w:val="pt_PT" w:bidi="pt_PT"/>
        </w:rPr>
        <w:t>), e a preparação de Davi de Jerusalém para o Templo e o governo de Salomão (</w:t>
      </w:r>
      <w:hyperlink r:id="rId16">
        <w:r>
          <w:rPr>
            <w:lang w:val="pt_PT" w:bidi="pt_PT"/>
          </w:rPr>
          <w:rPr>
            <w:color w:val="0000EE"/>
            <w:u w:val="single"/>
          </w:rPr>
          <w:t>10.1–29.30</w:t>
        </w:r>
      </w:hyperlink>
      <w:r>
        <w:rPr>
          <w:lang w:val="pt_PT" w:bidi="pt_PT"/>
        </w:rPr>
        <w:t>).</w:t>
      </w:r>
    </w:p>
    <w:p>
      <w:pPr/>
      <w:r>
        <w:rPr>
          <w:lang w:val="pt_PT" w:bidi="pt_PT"/>
        </w:rPr>
      </w:r>
      <w:r>
        <w:rPr>
          <w:lang w:val="pt_PT" w:bidi="pt_PT"/>
        </w:rPr>
        <w:t>O primeiro capítulo das genealogias (</w:t>
      </w:r>
      <w:hyperlink r:id="rId17">
        <w:r>
          <w:rPr>
            <w:lang w:val="pt_PT" w:bidi="pt_PT"/>
          </w:rPr>
          <w:rPr>
            <w:color w:val="0000EE"/>
            <w:u w:val="single"/>
          </w:rPr>
          <w:t>cap. 1</w:t>
        </w:r>
      </w:hyperlink>
      <w:r>
        <w:rPr>
          <w:lang w:val="pt_PT" w:bidi="pt_PT"/>
        </w:rPr>
        <w:t xml:space="preserve">) segue a linha da seleção de Deus de pessoas específicas, de Adão a Jacó (= Israel). </w:t>
      </w:r>
      <w:hyperlink r:id="rId18">
        <w:r>
          <w:rPr>
            <w:lang w:val="pt_PT" w:bidi="pt_PT"/>
          </w:rPr>
          <w:rPr>
            <w:color w:val="0000EE"/>
            <w:u w:val="single"/>
          </w:rPr>
          <w:t>Capítulos 2–8</w:t>
        </w:r>
      </w:hyperlink>
      <w:r>
        <w:rPr>
          <w:lang w:val="pt_PT" w:bidi="pt_PT"/>
        </w:rPr>
        <w:t xml:space="preserve"> tratam dos israelitas de Jacó até o exílio para Babilônia. Esta seção detalha primeiro a tribo de Judá (</w:t>
      </w:r>
      <w:hyperlink r:id="rId19">
        <w:r>
          <w:rPr>
            <w:lang w:val="pt_PT" w:bidi="pt_PT"/>
          </w:rPr>
          <w:rPr>
            <w:color w:val="0000EE"/>
            <w:u w:val="single"/>
          </w:rPr>
          <w:t>caps. 2–4</w:t>
        </w:r>
      </w:hyperlink>
      <w:r>
        <w:rPr>
          <w:lang w:val="pt_PT" w:bidi="pt_PT"/>
        </w:rPr>
        <w:t>), discutindo a casa de Davi na seção central (</w:t>
      </w:r>
      <w:hyperlink r:id="rId20">
        <w:r>
          <w:rPr>
            <w:lang w:val="pt_PT" w:bidi="pt_PT"/>
          </w:rPr>
          <w:rPr>
            <w:color w:val="0000EE"/>
            <w:u w:val="single"/>
          </w:rPr>
          <w:t>cap. 3</w:t>
        </w:r>
      </w:hyperlink>
      <w:r>
        <w:rPr>
          <w:lang w:val="pt_PT" w:bidi="pt_PT"/>
        </w:rPr>
        <w:t>), e depois descreve as outras tribos de Israel (</w:t>
      </w:r>
      <w:hyperlink r:id="rId21">
        <w:r>
          <w:rPr>
            <w:lang w:val="pt_PT" w:bidi="pt_PT"/>
          </w:rPr>
          <w:rPr>
            <w:color w:val="0000EE"/>
            <w:u w:val="single"/>
          </w:rPr>
          <w:t>caps. 5–7</w:t>
        </w:r>
      </w:hyperlink>
      <w:r>
        <w:rPr>
          <w:lang w:val="pt_PT" w:bidi="pt_PT"/>
        </w:rPr>
        <w:t>), incluindo aquelas a leste do Rio Jordão (em Transjordânia). No ponto médio dessas listas genealógicas adicionais vem Levi (</w:t>
      </w:r>
      <w:hyperlink r:id="rId22">
        <w:r>
          <w:rPr>
            <w:lang w:val="pt_PT" w:bidi="pt_PT"/>
          </w:rPr>
          <w:rPr>
            <w:color w:val="0000EE"/>
            <w:u w:val="single"/>
          </w:rPr>
          <w:t>cap. 6</w:t>
        </w:r>
      </w:hyperlink>
      <w:r>
        <w:rPr>
          <w:lang w:val="pt_PT" w:bidi="pt_PT"/>
        </w:rPr>
        <w:t>), uma tribo de significado central. O registro então continua com a tribo de Benjamim (</w:t>
      </w:r>
      <w:hyperlink r:id="rId23">
        <w:r>
          <w:rPr>
            <w:lang w:val="pt_PT" w:bidi="pt_PT"/>
          </w:rPr>
          <w:rPr>
            <w:color w:val="0000EE"/>
            <w:u w:val="single"/>
          </w:rPr>
          <w:t>cap. 8</w:t>
        </w:r>
      </w:hyperlink>
      <w:r>
        <w:rPr>
          <w:lang w:val="pt_PT" w:bidi="pt_PT"/>
        </w:rPr>
        <w:t>). As genealogias são completadas até cerca de 400 a.C., com uma lista dos principais representantes da comunidade que retornaram do exílio e começaram a restaurar Jerusalém (</w:t>
      </w:r>
      <w:hyperlink r:id="rId24">
        <w:r>
          <w:rPr>
            <w:lang w:val="pt_PT" w:bidi="pt_PT"/>
          </w:rPr>
          <w:rPr>
            <w:color w:val="0000EE"/>
            <w:u w:val="single"/>
          </w:rPr>
          <w:t>cap. 9</w:t>
        </w:r>
      </w:hyperlink>
      <w:r>
        <w:rPr>
          <w:lang w:val="pt_PT" w:bidi="pt_PT"/>
        </w:rPr>
        <w:t>).</w:t>
      </w:r>
    </w:p>
    <w:p>
      <w:pPr/>
      <w:r>
        <w:rPr>
          <w:lang w:val="pt_PT" w:bidi="pt_PT"/>
        </w:rPr>
      </w:r>
      <w:r>
        <w:rPr>
          <w:lang w:val="pt_PT" w:bidi="pt_PT"/>
        </w:rPr>
        <w:t>A genealogia de Saul (</w:t>
      </w:r>
      <w:hyperlink r:id="rId25">
        <w:r>
          <w:rPr>
            <w:lang w:val="pt_PT" w:bidi="pt_PT"/>
          </w:rPr>
          <w:rPr>
            <w:color w:val="0000EE"/>
            <w:u w:val="single"/>
          </w:rPr>
          <w:t>9.35–44</w:t>
        </w:r>
      </w:hyperlink>
      <w:r>
        <w:rPr>
          <w:lang w:val="pt_PT" w:bidi="pt_PT"/>
        </w:rPr>
        <w:t>) introduz a fundação da monarquia. Quando Saul morreu devido à sua infidelidade (</w:t>
      </w:r>
      <w:hyperlink r:id="rId26">
        <w:r>
          <w:rPr>
            <w:lang w:val="pt_PT" w:bidi="pt_PT"/>
          </w:rPr>
          <w:rPr>
            <w:color w:val="0000EE"/>
            <w:u w:val="single"/>
          </w:rPr>
          <w:t>10.1–14</w:t>
        </w:r>
      </w:hyperlink>
      <w:r>
        <w:rPr>
          <w:lang w:val="pt_PT" w:bidi="pt_PT"/>
        </w:rPr>
        <w:t>), Davi tornou-se rei (</w:t>
      </w:r>
      <w:hyperlink r:id="rId27">
        <w:r>
          <w:rPr>
            <w:lang w:val="pt_PT" w:bidi="pt_PT"/>
          </w:rPr>
          <w:rPr>
            <w:color w:val="0000EE"/>
            <w:u w:val="single"/>
          </w:rPr>
          <w:t>11.1–12.40</w:t>
        </w:r>
      </w:hyperlink>
      <w:r>
        <w:rPr>
          <w:lang w:val="pt_PT" w:bidi="pt_PT"/>
        </w:rPr>
        <w:t>). Os capítulos sobre o reinado de Davi explicam sua organização de oficiais e suas preparações para o Templo (</w:t>
      </w:r>
      <w:hyperlink r:id="rId28">
        <w:r>
          <w:rPr>
            <w:lang w:val="pt_PT" w:bidi="pt_PT"/>
          </w:rPr>
          <w:rPr>
            <w:color w:val="0000EE"/>
            <w:u w:val="single"/>
          </w:rPr>
          <w:t>caps. 13–27</w:t>
        </w:r>
      </w:hyperlink>
      <w:r>
        <w:rPr>
          <w:lang w:val="pt_PT" w:bidi="pt_PT"/>
        </w:rPr>
        <w:t>). A transferência da Arca da Aliança para Jerusalém (</w:t>
      </w:r>
      <w:hyperlink r:id="rId29">
        <w:r>
          <w:rPr>
            <w:lang w:val="pt_PT" w:bidi="pt_PT"/>
          </w:rPr>
          <w:rPr>
            <w:color w:val="0000EE"/>
            <w:u w:val="single"/>
          </w:rPr>
          <w:t>caps. 13–16</w:t>
        </w:r>
      </w:hyperlink>
      <w:r>
        <w:rPr>
          <w:lang w:val="pt_PT" w:bidi="pt_PT"/>
        </w:rPr>
        <w:t>) foi um evento importante no estabelecimento do reino de Davi. O restante de 1 Crônicas traça os passos tomados em direção à construção do Templo. Esses capítulos incluem a identidade do construtor (</w:t>
      </w:r>
      <w:hyperlink r:id="rId30">
        <w:r>
          <w:rPr>
            <w:lang w:val="pt_PT" w:bidi="pt_PT"/>
          </w:rPr>
          <w:rPr>
            <w:color w:val="0000EE"/>
            <w:u w:val="single"/>
          </w:rPr>
          <w:t>cap. 17</w:t>
        </w:r>
      </w:hyperlink>
      <w:r>
        <w:rPr>
          <w:lang w:val="pt_PT" w:bidi="pt_PT"/>
        </w:rPr>
        <w:t>), as condições políticas necessárias (</w:t>
      </w:r>
      <w:hyperlink r:id="rId31">
        <w:r>
          <w:rPr>
            <w:lang w:val="pt_PT" w:bidi="pt_PT"/>
          </w:rPr>
          <w:rPr>
            <w:color w:val="0000EE"/>
            <w:u w:val="single"/>
          </w:rPr>
          <w:t>caps. 18–20</w:t>
        </w:r>
      </w:hyperlink>
      <w:r>
        <w:rPr>
          <w:lang w:val="pt_PT" w:bidi="pt_PT"/>
        </w:rPr>
        <w:t>), o local (</w:t>
      </w:r>
      <w:hyperlink r:id="rId32">
        <w:r>
          <w:rPr>
            <w:lang w:val="pt_PT" w:bidi="pt_PT"/>
          </w:rPr>
          <w:rPr>
            <w:color w:val="0000EE"/>
            <w:u w:val="single"/>
          </w:rPr>
          <w:t>cap. 21</w:t>
        </w:r>
      </w:hyperlink>
      <w:r>
        <w:rPr>
          <w:lang w:val="pt_PT" w:bidi="pt_PT"/>
        </w:rPr>
        <w:t>), o pessoal (</w:t>
      </w:r>
      <w:hyperlink r:id="rId33">
        <w:r>
          <w:rPr>
            <w:lang w:val="pt_PT" w:bidi="pt_PT"/>
          </w:rPr>
          <w:rPr>
            <w:color w:val="0000EE"/>
            <w:u w:val="single"/>
          </w:rPr>
          <w:t>caps. 23–27</w:t>
        </w:r>
      </w:hyperlink>
      <w:r>
        <w:rPr>
          <w:lang w:val="pt_PT" w:bidi="pt_PT"/>
        </w:rPr>
        <w:t>), os materiais e os planos (</w:t>
      </w:r>
      <w:hyperlink r:id="rId34">
        <w:r>
          <w:rPr>
            <w:lang w:val="pt_PT" w:bidi="pt_PT"/>
          </w:rPr>
          <w:rPr>
            <w:color w:val="0000EE"/>
            <w:u w:val="single"/>
          </w:rPr>
          <w:t>caps. 22</w:t>
        </w:r>
      </w:hyperlink>
      <w:r>
        <w:rPr>
          <w:lang w:val="pt_PT" w:bidi="pt_PT"/>
        </w:rPr>
        <w:t xml:space="preserve">, </w:t>
      </w:r>
      <w:hyperlink r:id="rId35">
        <w:r>
          <w:rPr>
            <w:lang w:val="pt_PT" w:bidi="pt_PT"/>
          </w:rPr>
          <w:rPr>
            <w:color w:val="0000EE"/>
            <w:u w:val="single"/>
          </w:rPr>
          <w:t>28–29</w:t>
        </w:r>
      </w:hyperlink>
      <w:r>
        <w:rPr>
          <w:lang w:val="pt_PT" w:bidi="pt_PT"/>
        </w:rPr>
        <w:t>). O relato do reinado de Davi termina com uma grande assembleia pública e a nomeação de Salomão como o rei da paz que construiria o Templo (</w:t>
      </w:r>
      <w:hyperlink r:id="rId35">
        <w:r>
          <w:rPr>
            <w:lang w:val="pt_PT" w:bidi="pt_PT"/>
          </w:rPr>
          <w:rPr>
            <w:color w:val="0000EE"/>
            <w:u w:val="single"/>
          </w:rPr>
          <w:t>caps. 28–29</w:t>
        </w:r>
      </w:hyperlink>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hyperlink r:id="rId36">
        <w:r>
          <w:rPr>
            <w:lang w:val="pt_PT" w:bidi="pt_PT"/>
          </w:rPr>
          <w:rPr>
            <w:color w:val="0000EE"/>
            <w:u w:val="single"/>
          </w:rPr>
          <w:t>3.17–24</w:t>
        </w:r>
      </w:hyperlink>
      <w:r>
        <w:rPr>
          <w:lang w:val="pt_PT" w:bidi="pt_PT"/>
        </w:rPr>
        <w:t>) sugere uma data que é oito gerações após Zorobabel, que serviu como governador por volta de 520 a.C., durante os dias de Dario, rei da Pérsia (</w:t>
      </w:r>
      <w:hyperlink r:id="rId37">
        <w:r>
          <w:rPr>
            <w:lang w:val="pt_PT" w:bidi="pt_PT"/>
          </w:rPr>
          <w:rPr>
            <w:color w:val="0000EE"/>
            <w:u w:val="single"/>
          </w:rPr>
          <w:t>Zc 1.1</w:t>
        </w:r>
      </w:hyperlink>
      <w:r>
        <w:rPr>
          <w:lang w:val="pt_PT" w:bidi="pt_PT"/>
        </w:rPr>
        <w:t xml:space="preserve">; </w:t>
      </w:r>
      <w:hyperlink r:id="rId38">
        <w:r>
          <w:rPr>
            <w:lang w:val="pt_PT" w:bidi="pt_PT"/>
          </w:rPr>
          <w:rPr>
            <w:color w:val="0000EE"/>
            <w:u w:val="single"/>
          </w:rPr>
          <w:t>4.9</w:t>
        </w:r>
      </w:hyperlink>
      <w:r>
        <w:rPr>
          <w:lang w:val="pt_PT" w:bidi="pt_PT"/>
        </w:rPr>
        <w:t>). O cronista provavelmente escreveu algum tempo depois que Neemias viajou para Jerusalém no vigésimo ano de Artaxerxes (445 a.C.) para reparar os muros da cidade (</w:t>
      </w:r>
      <w:hyperlink r:id="rId39">
        <w:r>
          <w:rPr>
            <w:lang w:val="pt_PT" w:bidi="pt_PT"/>
          </w:rPr>
          <w:rPr>
            <w:color w:val="0000EE"/>
            <w:u w:val="single"/>
          </w:rPr>
          <w:t>Ne 2.1</w:t>
        </w:r>
      </w:hyperlink>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hyperlink r:id="rId40">
        <w:r>
          <w:rPr>
            <w:lang w:val="pt_PT" w:bidi="pt_PT"/>
          </w:rPr>
          <w:rPr>
            <w:color w:val="0000EE"/>
            <w:u w:val="single"/>
          </w:rPr>
          <w:t>Ml 2.14–16</w:t>
        </w:r>
      </w:hyperlink>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hyperlink r:id="rId30">
        <w:r>
          <w:rPr>
            <w:lang w:val="pt_PT" w:bidi="pt_PT"/>
          </w:rPr>
          <w:rPr>
            <w:color w:val="0000EE"/>
            <w:u w:val="single"/>
          </w:rPr>
          <w:t>17.1–27</w:t>
        </w:r>
      </w:hyperlink>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1">
        <w:r>
          <w:rPr>
            <w:lang w:val="pt_PT" w:bidi="pt_PT"/>
          </w:rPr>
          <w:rPr>
            <w:color w:val="0000EE"/>
            <w:u w:val="single"/>
          </w:rPr>
          <w:t>2Sm 7.11–14</w:t>
        </w:r>
      </w:hyperlink>
      <w:hyperlink r:id="rId41">
        <w:r>
          <w:rPr>
            <w:lang w:val="pt_PT" w:bidi="pt_PT"/>
          </w:rPr>
          <w:rPr>
            <w:color w:val="0000EE"/>
            <w:u w:val="single"/>
          </w:rPr>
          <w:t xml:space="preserve"> // </w:t>
        </w:r>
      </w:hyperlink>
      <w:hyperlink r:id="rId42">
        <w:r>
          <w:rPr>
            <w:lang w:val="pt_PT" w:bidi="pt_PT"/>
          </w:rPr>
          <w:rPr>
            <w:color w:val="0000EE"/>
            <w:u w:val="single"/>
          </w:rPr>
          <w:t>1Cr 17.10–14</w:t>
        </w:r>
      </w:hyperlink>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3">
        <w:r>
          <w:rPr>
            <w:lang w:val="pt_PT" w:bidi="pt_PT"/>
          </w:rPr>
          <w:rPr>
            <w:color w:val="0000EE"/>
            <w:u w:val="single"/>
          </w:rPr>
          <w:t>10.13</w:t>
        </w:r>
      </w:hyperlink>
      <w:r>
        <w:rPr>
          <w:lang w:val="pt_PT" w:bidi="pt_PT"/>
        </w:rPr>
        <w:t xml:space="preserve">). Reis posteriores repetiram a essência do fracasso de Saul: eles se rebelaram contra a aliança de Deus e buscaram segurança em poderes estrangeiros e deuses pagãos em vez de em sua Rocha, o Senhor (veja </w:t>
      </w:r>
      <w:hyperlink r:id="rId44">
        <w:r>
          <w:rPr>
            <w:lang w:val="pt_PT" w:bidi="pt_PT"/>
          </w:rPr>
          <w:rPr>
            <w:color w:val="0000EE"/>
            <w:u w:val="single"/>
          </w:rPr>
          <w:t>Dt 32.4</w:t>
        </w:r>
      </w:hyperlink>
      <w:r>
        <w:rPr>
          <w:lang w:val="pt_PT" w:bidi="pt_PT"/>
        </w:rPr>
        <w:t xml:space="preserve">, </w:t>
      </w:r>
      <w:hyperlink r:id="rId45">
        <w:r>
          <w:rPr>
            <w:lang w:val="pt_PT" w:bidi="pt_PT"/>
          </w:rPr>
          <w:rPr>
            <w:color w:val="0000EE"/>
            <w:u w:val="single"/>
          </w:rPr>
          <w:t>15–39</w:t>
        </w:r>
      </w:hyperlink>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6">
        <w:r>
          <w:rPr>
            <w:lang w:val="pt_PT" w:bidi="pt_PT"/>
          </w:rPr>
          <w:rPr>
            <w:color w:val="0000EE"/>
            <w:u w:val="single"/>
          </w:rPr>
          <w:t>2Cr 7.14</w:t>
        </w:r>
      </w:hyperlink>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7">
        <w:r>
          <w:rPr>
            <w:lang w:val="pt_PT" w:bidi="pt_PT"/>
          </w:rPr>
          <w:rPr>
            <w:color w:val="0000EE"/>
            <w:u w:val="single"/>
          </w:rPr>
          <w:t>1Cr 9.3</w:t>
        </w:r>
      </w:hyperlink>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