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3">
        <w:r>
          <w:rPr>
            <w:lang w:val="pt_PT" w:bidi="pt_PT"/>
          </w:rPr>
          <w:rPr>
            <w:color w:val="0000EE"/>
            <w:u w:val="single"/>
          </w:rPr>
          <w:t>2Rs 21.1–7</w:t>
        </w:r>
      </w:hyperlink>
      <w:r>
        <w:rPr>
          <w:lang w:val="pt_PT" w:bidi="pt_PT"/>
        </w:rPr>
        <w:t xml:space="preserve">). Como resultado, o reino de Judá tornou-se um deserto espiritual (mas veja </w:t>
      </w:r>
      <w:hyperlink r:id="rId14">
        <w:r>
          <w:rPr>
            <w:lang w:val="pt_PT" w:bidi="pt_PT"/>
          </w:rPr>
          <w:rPr>
            <w:color w:val="0000EE"/>
            <w:u w:val="single"/>
          </w:rPr>
          <w:t>2Cr 33.10–17</w:t>
        </w:r>
      </w:hyperlink>
      <w:r>
        <w:rPr>
          <w:lang w:val="pt_PT" w:bidi="pt_PT"/>
        </w:rPr>
        <w:t>). O filho de Manassés, Amom, seguiu o exemplo negativo de seu pai durante seu breve reinado (</w:t>
      </w:r>
      <w:hyperlink r:id="rId15">
        <w:r>
          <w:rPr>
            <w:lang w:val="pt_PT" w:bidi="pt_PT"/>
          </w:rPr>
          <w:rPr>
            <w:color w:val="0000EE"/>
            <w:u w:val="single"/>
          </w:rPr>
          <w:t>2Rs 21.21</w:t>
        </w:r>
      </w:hyperlink>
      <w:r>
        <w:rPr>
          <w:lang w:val="pt_PT" w:bidi="pt_PT"/>
        </w:rPr>
        <w:t>). Quando alguns dos servos do palácio em Jerusalém assassinaram Amom (</w:t>
      </w:r>
      <w:hyperlink r:id="rId16">
        <w:r>
          <w:rPr>
            <w:lang w:val="pt_PT" w:bidi="pt_PT"/>
          </w:rPr>
          <w:rPr>
            <w:color w:val="0000EE"/>
            <w:u w:val="single"/>
          </w:rPr>
          <w:t>2Rs 21.23–24</w:t>
        </w:r>
      </w:hyperlink>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hyperlink r:id="rId17">
        <w:r>
          <w:rPr>
            <w:lang w:val="pt_PT" w:bidi="pt_PT"/>
          </w:rPr>
          <w:rPr>
            <w:color w:val="0000EE"/>
            <w:u w:val="single"/>
          </w:rPr>
          <w:t>2Cr 34.3–7</w:t>
        </w:r>
      </w:hyperlink>
      <w:r>
        <w:rPr>
          <w:lang w:val="pt_PT" w:bidi="pt_PT"/>
        </w:rPr>
        <w:t>). No décimo oitavo ano no trono, ele financiou o reparo do Templo para que os sacerdotes e o povo de Judá pudessem adorar o único Deus verdadeiro (</w:t>
      </w:r>
      <w:hyperlink r:id="rId18">
        <w:r>
          <w:rPr>
            <w:lang w:val="pt_PT" w:bidi="pt_PT"/>
          </w:rPr>
          <w:rPr>
            <w:color w:val="0000EE"/>
            <w:u w:val="single"/>
          </w:rPr>
          <w:t>2Cr 34.8</w:t>
        </w:r>
      </w:hyperlink>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hyperlink r:id="rId19">
        <w:r>
          <w:rPr>
            <w:lang w:val="pt_PT" w:bidi="pt_PT"/>
          </w:rPr>
          <w:rPr>
            <w:color w:val="0000EE"/>
            <w:u w:val="single"/>
          </w:rPr>
          <w:t>2Rs 23.29</w:t>
        </w:r>
      </w:hyperlink>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hyperlink r:id="rId20">
        <w:r>
          <w:rPr>
            <w:lang w:val="pt_PT" w:bidi="pt_PT"/>
          </w:rPr>
          <w:rPr>
            <w:color w:val="0000EE"/>
            <w:u w:val="single"/>
          </w:rPr>
          <w:t>Capítulo 1</w:t>
        </w:r>
      </w:hyperlink>
      <w:r>
        <w:rPr>
          <w:lang w:val="pt_PT" w:bidi="pt_PT"/>
        </w:rPr>
        <w:t xml:space="preserve"> (627 a.C.) narra como Deus escolheu Jeremias para ser seu mensageiro.</w:t>
      </w:r>
    </w:p>
    <w:p>
      <w:pPr/>
      <w:r>
        <w:rPr>
          <w:lang w:val="pt_PT" w:bidi="pt_PT"/>
        </w:rPr>
      </w:r>
      <w:hyperlink r:id="rId21">
        <w:r>
          <w:rPr>
            <w:lang w:val="pt_PT" w:bidi="pt_PT"/>
          </w:rPr>
          <w:rPr>
            <w:color w:val="0000EE"/>
            <w:u w:val="single"/>
          </w:rPr>
          <w:t>Capítulos 2–20</w:t>
        </w:r>
      </w:hyperlink>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hyperlink r:id="rId22">
        <w:r>
          <w:rPr>
            <w:lang w:val="pt_PT" w:bidi="pt_PT"/>
          </w:rPr>
          <w:rPr>
            <w:color w:val="0000EE"/>
            <w:u w:val="single"/>
          </w:rPr>
          <w:t>capítulos 11–20</w:t>
        </w:r>
      </w:hyperlink>
      <w:r>
        <w:rPr>
          <w:lang w:val="pt_PT" w:bidi="pt_PT"/>
        </w:rPr>
        <w:t>, Jeremias aprende mais sobre os propósitos de Deus.</w:t>
      </w:r>
    </w:p>
    <w:p>
      <w:pPr/>
      <w:r>
        <w:rPr>
          <w:lang w:val="pt_PT" w:bidi="pt_PT"/>
        </w:rPr>
      </w:r>
      <w:hyperlink r:id="rId23">
        <w:r>
          <w:rPr>
            <w:lang w:val="pt_PT" w:bidi="pt_PT"/>
          </w:rPr>
          <w:rPr>
            <w:color w:val="0000EE"/>
            <w:u w:val="single"/>
          </w:rPr>
          <w:t>Capítulos 21–29</w:t>
        </w:r>
      </w:hyperlink>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hyperlink r:id="rId24">
        <w:r>
          <w:rPr>
            <w:lang w:val="pt_PT" w:bidi="pt_PT"/>
          </w:rPr>
          <w:rPr>
            <w:color w:val="0000EE"/>
            <w:u w:val="single"/>
          </w:rPr>
          <w:t>Capítulos 30–33</w:t>
        </w:r>
      </w:hyperlink>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5">
        <w:r>
          <w:rPr>
            <w:lang w:val="pt_PT" w:bidi="pt_PT"/>
          </w:rPr>
          <w:rPr>
            <w:color w:val="0000EE"/>
            <w:u w:val="single"/>
          </w:rPr>
          <w:t>33.15</w:t>
        </w:r>
      </w:hyperlink>
      <w:r>
        <w:rPr>
          <w:lang w:val="pt_PT" w:bidi="pt_PT"/>
        </w:rPr>
        <w:t>) que trará salvação.</w:t>
      </w:r>
    </w:p>
    <w:p>
      <w:pPr/>
      <w:r>
        <w:rPr>
          <w:lang w:val="pt_PT" w:bidi="pt_PT"/>
        </w:rPr>
      </w:r>
      <w:hyperlink r:id="rId26">
        <w:r>
          <w:rPr>
            <w:lang w:val="pt_PT" w:bidi="pt_PT"/>
          </w:rPr>
          <w:rPr>
            <w:color w:val="0000EE"/>
            <w:u w:val="single"/>
          </w:rPr>
          <w:t>Capítulos 34–45</w:t>
        </w:r>
      </w:hyperlink>
      <w:r>
        <w:rPr>
          <w:lang w:val="pt_PT" w:bidi="pt_PT"/>
        </w:rPr>
        <w:t xml:space="preserve"> (605–580 a.C.) narram o cerco babilônico de Jerusalém, a brecha nas muralhas da cidade e a destruição completa do Templo, da cidade de Jerusalém e do reino de Judá. </w:t>
      </w:r>
      <w:hyperlink r:id="rId27">
        <w:r>
          <w:rPr>
            <w:lang w:val="pt_PT" w:bidi="pt_PT"/>
          </w:rPr>
          <w:rPr>
            <w:color w:val="0000EE"/>
            <w:u w:val="single"/>
          </w:rPr>
          <w:t>Capítulos 34–36</w:t>
        </w:r>
      </w:hyperlink>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hyperlink r:id="rId28">
        <w:r>
          <w:rPr>
            <w:lang w:val="pt_PT" w:bidi="pt_PT"/>
          </w:rPr>
          <w:rPr>
            <w:color w:val="0000EE"/>
            <w:u w:val="single"/>
          </w:rPr>
          <w:t>Capítulos 46–51</w:t>
        </w:r>
      </w:hyperlink>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hyperlink r:id="rId29">
        <w:r>
          <w:rPr>
            <w:lang w:val="pt_PT" w:bidi="pt_PT"/>
          </w:rPr>
          <w:rPr>
            <w:color w:val="0000EE"/>
            <w:u w:val="single"/>
          </w:rPr>
          <w:t>Capítulo 52</w:t>
        </w:r>
      </w:hyperlink>
      <w:r>
        <w:rPr>
          <w:lang w:val="pt_PT" w:bidi="pt_PT"/>
        </w:rPr>
        <w:t xml:space="preserve"> (586–561 a.C.) descreve os últimos dias de Jerusalém, essencialmente repetindo </w:t>
      </w:r>
      <w:hyperlink r:id="rId30">
        <w:r>
          <w:rPr>
            <w:lang w:val="pt_PT" w:bidi="pt_PT"/>
          </w:rPr>
          <w:rPr>
            <w:color w:val="0000EE"/>
            <w:u w:val="single"/>
          </w:rPr>
          <w:t>2 Reis 24.18–25.30</w:t>
        </w:r>
      </w:hyperlink>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hyperlink r:id="rId31">
        <w:r>
          <w:rPr>
            <w:lang w:val="pt_PT" w:bidi="pt_PT"/>
          </w:rPr>
          <w:rPr>
            <w:color w:val="0000EE"/>
            <w:u w:val="single"/>
          </w:rPr>
          <w:t>Jr 36.1–26</w:t>
        </w:r>
      </w:hyperlink>
      <w:r>
        <w:rPr>
          <w:lang w:val="pt_PT" w:bidi="pt_PT"/>
        </w:rPr>
        <w:t>). O rei destruiu este rolo, mas Jeremias e Baruque reescreveram as mensagens e “acrescentaram muito mais!” (</w:t>
      </w:r>
      <w:hyperlink r:id="rId32">
        <w:r>
          <w:rPr>
            <w:lang w:val="pt_PT" w:bidi="pt_PT"/>
          </w:rPr>
          <w:rPr>
            <w:color w:val="0000EE"/>
            <w:u w:val="single"/>
          </w:rPr>
          <w:t>36.32</w:t>
        </w:r>
      </w:hyperlink>
      <w:r>
        <w:rPr>
          <w:lang w:val="pt_PT" w:bidi="pt_PT"/>
        </w:rPr>
        <w:t xml:space="preserve">). O conteúdo deste segundo rolo provavelmente compõe os capítulos </w:t>
      </w:r>
      <w:hyperlink r:id="rId21">
        <w:r>
          <w:rPr>
            <w:lang w:val="pt_PT" w:bidi="pt_PT"/>
          </w:rPr>
          <w:rPr>
            <w:color w:val="0000EE"/>
            <w:u w:val="single"/>
          </w:rPr>
          <w:t>2–20</w:t>
        </w:r>
      </w:hyperlink>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3">
        <w:r>
          <w:rPr>
            <w:lang w:val="pt_PT" w:bidi="pt_PT"/>
          </w:rPr>
          <w:rPr>
            <w:color w:val="0000EE"/>
            <w:u w:val="single"/>
          </w:rPr>
          <w:t>2Sm 10.1–19</w:t>
        </w:r>
      </w:hyperlink>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4">
        <w:r>
          <w:rPr>
            <w:lang w:val="pt_PT" w:bidi="pt_PT"/>
          </w:rPr>
          <w:rPr>
            <w:color w:val="0000EE"/>
            <w:u w:val="single"/>
          </w:rPr>
          <w:t>Jer 2.9</w:t>
        </w:r>
      </w:hyperlink>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5">
        <w:r>
          <w:rPr>
            <w:lang w:val="pt_PT" w:bidi="pt_PT"/>
          </w:rPr>
          <w:rPr>
            <w:color w:val="0000EE"/>
            <w:u w:val="single"/>
          </w:rPr>
          <w:t>Jr 10.1–16</w:t>
        </w:r>
      </w:hyperlink>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hyperlink r:id="rId24">
        <w:r>
          <w:rPr>
            <w:lang w:val="pt_PT" w:bidi="pt_PT"/>
          </w:rPr>
          <w:rPr>
            <w:color w:val="0000EE"/>
            <w:u w:val="single"/>
          </w:rPr>
          <w:t>30–33</w:t>
        </w:r>
      </w:hyperlink>
      <w:r>
        <w:rPr>
          <w:lang w:val="pt_PT" w:bidi="pt_PT"/>
        </w:rPr>
        <w:t>, que oferecem a promessa de uma nova aliança e um novo rei. Em vez de arrancar e derrubar, Deus plantaria e reconstruiria (</w:t>
      </w:r>
      <w:hyperlink r:id="rId36">
        <w:r>
          <w:rPr>
            <w:lang w:val="pt_PT" w:bidi="pt_PT"/>
          </w:rPr>
          <w:rPr>
            <w:color w:val="0000EE"/>
            <w:u w:val="single"/>
          </w:rPr>
          <w:t>1.10</w:t>
        </w:r>
      </w:hyperlink>
      <w:r>
        <w:rPr>
          <w:lang w:val="pt_PT" w:bidi="pt_PT"/>
        </w:rPr>
        <w:t xml:space="preserve">; </w:t>
      </w:r>
      <w:hyperlink r:id="rId37">
        <w:r>
          <w:rPr>
            <w:lang w:val="pt_PT" w:bidi="pt_PT"/>
          </w:rPr>
          <w:rPr>
            <w:color w:val="0000EE"/>
            <w:u w:val="single"/>
          </w:rPr>
          <w:t>31.28</w:t>
        </w:r>
      </w:hyperlink>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hyperlink r:id="rId38">
        <w:r>
          <w:rPr>
            <w:lang w:val="pt_PT" w:bidi="pt_PT"/>
          </w:rPr>
          <w:rPr>
            <w:color w:val="0000EE"/>
            <w:u w:val="single"/>
          </w:rPr>
          <w:t>1.17–19</w:t>
        </w:r>
      </w:hyperlink>
      <w:r>
        <w:rPr>
          <w:lang w:val="pt_PT" w:bidi="pt_PT"/>
        </w:rPr>
        <w:t xml:space="preserve">) e seus próprios desejos. O comando do Senhor era “Vá... e diga”, enquanto o profeta desejava manter a paz com seus vizinhos (veja </w:t>
      </w:r>
      <w:hyperlink r:id="rId39">
        <w:r>
          <w:rPr>
            <w:lang w:val="pt_PT" w:bidi="pt_PT"/>
          </w:rPr>
          <w:rPr>
            <w:color w:val="0000EE"/>
            <w:u w:val="single"/>
          </w:rPr>
          <w:t>20.8–9</w:t>
        </w:r>
      </w:hyperlink>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0">
        <w:r>
          <w:rPr>
            <w:lang w:val="pt_PT" w:bidi="pt_PT"/>
          </w:rPr>
          <w:rPr>
            <w:color w:val="0000EE"/>
            <w:u w:val="single"/>
          </w:rPr>
          <w:t>15.16–18</w:t>
        </w:r>
      </w:hyperlink>
      <w:r>
        <w:rPr>
          <w:lang w:val="pt_PT" w:bidi="pt_PT"/>
        </w:rPr>
        <w:t xml:space="preserve">; cp. </w:t>
      </w:r>
      <w:hyperlink r:id="rId41">
        <w:r>
          <w:rPr>
            <w:lang w:val="pt_PT" w:bidi="pt_PT"/>
          </w:rPr>
          <w:rPr>
            <w:color w:val="0000EE"/>
            <w:u w:val="single"/>
          </w:rPr>
          <w:t>Mt 26.36–42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