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i/>
          <w:lang w:val="ru_RU" w:bidi="ru_RU"/>
        </w:rPr>
        <w:t>Исаия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lang w:val="ru_RU" w:bidi="ru_RU"/>
        </w:rPr>
        <w:t>«да!»</w:t>
      </w:r>
      <w:r>
        <w:rPr>
          <w:lang w:val="ru_RU" w:bidi="ru_RU"/>
        </w:rP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2"/>
      </w:pPr>
      <w:r>
        <w:rPr>
          <w:lang w:val="ru_RU" w:bidi="ru_RU"/>
        </w:rPr>
        <w:t>Исторический контекст</w:t>
      </w:r>
    </w:p>
    <w:p>
      <w:pPr/>
      <w:r>
        <w:rPr>
          <w:lang w:val="ru_RU" w:bidi="ru_RU"/>
        </w:rPr>
      </w:r>
      <w:r>
        <w:rPr>
          <w:lang w:val="ru_RU" w:bidi="ru_RU"/>
        </w:rP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pPr/>
      <w:r>
        <w:rPr>
          <w:lang w:val="ru_RU" w:bidi="ru_RU"/>
        </w:rPr>
      </w:r>
      <w:r>
        <w:rPr>
          <w:lang w:val="ru_RU" w:bidi="ru_RU"/>
        </w:rP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hyperlink r:id="rId13">
        <w:r>
          <w:rPr>
            <w:lang w:val="ru_RU" w:bidi="ru_RU"/>
          </w:rPr>
          <w:rPr>
            <w:color w:val="0000EE"/>
            <w:u w:val="single"/>
          </w:rPr>
          <w:t>2 Пар.26:11–15</w:t>
        </w:r>
      </w:hyperlink>
      <w:r>
        <w:rPr>
          <w:lang w:val="ru_RU" w:bidi="ru_RU"/>
        </w:rP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hyperlink r:id="rId14">
        <w:r>
          <w:rPr>
            <w:lang w:val="ru_RU" w:bidi="ru_RU"/>
          </w:rPr>
          <w:rPr>
            <w:color w:val="0000EE"/>
            <w:u w:val="single"/>
          </w:rPr>
          <w:t>Ис.6</w:t>
        </w:r>
      </w:hyperlink>
      <w:r>
        <w:rPr>
          <w:lang w:val="ru_RU" w:bidi="ru_RU"/>
        </w:rPr>
        <w:t>).</w:t>
      </w:r>
    </w:p>
    <w:p>
      <w:pPr/>
      <w:r>
        <w:rPr>
          <w:lang w:val="ru_RU" w:bidi="ru_RU"/>
        </w:rPr>
      </w:r>
      <w:r>
        <w:rPr>
          <w:lang w:val="ru_RU" w:bidi="ru_RU"/>
        </w:rP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pPr/>
      <w:r>
        <w:rPr>
          <w:lang w:val="ru_RU" w:bidi="ru_RU"/>
        </w:rPr>
      </w:r>
      <w:r>
        <w:rPr>
          <w:lang w:val="ru_RU" w:bidi="ru_RU"/>
        </w:rP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hyperlink r:id="rId15">
        <w:r>
          <w:rPr>
            <w:lang w:val="ru_RU" w:bidi="ru_RU"/>
          </w:rPr>
          <w:rPr>
            <w:color w:val="0000EE"/>
            <w:u w:val="single"/>
          </w:rPr>
          <w:t>2Пар.28:16–21</w:t>
        </w:r>
      </w:hyperlink>
      <w:r>
        <w:rPr>
          <w:lang w:val="ru_RU" w:bidi="ru_RU"/>
        </w:rPr>
        <w:t>), вместо того, чтобы довериться Богу (</w:t>
      </w:r>
      <w:hyperlink r:id="rId16">
        <w:r>
          <w:rPr>
            <w:lang w:val="ru_RU" w:bidi="ru_RU"/>
          </w:rPr>
          <w:rPr>
            <w:color w:val="0000EE"/>
            <w:u w:val="single"/>
          </w:rPr>
          <w:t>Ис.7:1–12</w:t>
        </w:r>
      </w:hyperlink>
      <w:r>
        <w:rPr>
          <w:lang w:val="ru_RU" w:bidi="ru_RU"/>
        </w:rP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hyperlink r:id="rId17">
        <w:r>
          <w:rPr>
            <w:lang w:val="ru_RU" w:bidi="ru_RU"/>
          </w:rPr>
          <w:rPr>
            <w:color w:val="0000EE"/>
            <w:u w:val="single"/>
          </w:rPr>
          <w:t>4Цар.17:5–18</w:t>
        </w:r>
      </w:hyperlink>
      <w:r>
        <w:rPr>
          <w:lang w:val="ru_RU" w:bidi="ru_RU"/>
        </w:rPr>
        <w:t>).</w:t>
      </w:r>
    </w:p>
    <w:p>
      <w:pPr/>
      <w:r>
        <w:rPr>
          <w:lang w:val="ru_RU" w:bidi="ru_RU"/>
        </w:rPr>
      </w:r>
      <w:r>
        <w:rPr>
          <w:lang w:val="ru_RU" w:bidi="ru_RU"/>
        </w:rP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hyperlink r:id="rId18">
        <w:r>
          <w:rPr>
            <w:lang w:val="ru_RU" w:bidi="ru_RU"/>
          </w:rPr>
          <w:rPr>
            <w:color w:val="0000EE"/>
            <w:u w:val="single"/>
          </w:rPr>
          <w:t>37:21–36</w:t>
        </w:r>
      </w:hyperlink>
      <w:r>
        <w:rPr>
          <w:lang w:val="ru_RU" w:bidi="ru_RU"/>
        </w:rPr>
        <w:t>).</w:t>
      </w:r>
    </w:p>
    <w:p>
      <w:pPr/>
      <w:r>
        <w:rPr>
          <w:lang w:val="ru_RU" w:bidi="ru_RU"/>
        </w:rPr>
      </w:r>
      <w:r>
        <w:rPr>
          <w:lang w:val="ru_RU" w:bidi="ru_RU"/>
        </w:rP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pPr/>
      <w:r>
        <w:rPr>
          <w:lang w:val="ru_RU" w:bidi="ru_RU"/>
        </w:rPr>
      </w:r>
      <w:r>
        <w:rPr>
          <w:lang w:val="ru_RU" w:bidi="ru_RU"/>
        </w:rPr>
        <w:t xml:space="preserve">По возвращении из плена (538 г. до н.э.; см. </w:t>
      </w:r>
      <w:hyperlink r:id="rId19">
        <w:r>
          <w:rPr>
            <w:lang w:val="ru_RU" w:bidi="ru_RU"/>
          </w:rPr>
          <w:rPr>
            <w:color w:val="0000EE"/>
            <w:u w:val="single"/>
          </w:rPr>
          <w:t>Езд.1:1–4</w:t>
        </w:r>
      </w:hyperlink>
      <w:r>
        <w:rPr>
          <w:lang w:val="ru_RU" w:bidi="ru_RU"/>
        </w:rP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2"/>
      </w:pPr>
      <w:r>
        <w:rPr>
          <w:lang w:val="ru_RU" w:bidi="ru_RU"/>
        </w:rPr>
        <w:t>Краткое содержание</w:t>
      </w:r>
    </w:p>
    <w:p>
      <w:pPr/>
      <w:r>
        <w:rPr>
          <w:lang w:val="ru_RU" w:bidi="ru_RU"/>
        </w:rPr>
      </w:r>
      <w:hyperlink r:id="rId20">
        <w:r>
          <w:rPr>
            <w:lang w:val="ru_RU" w:bidi="ru_RU"/>
          </w:rPr>
          <w:rPr>
            <w:color w:val="0000EE"/>
            <w:u w:val="single"/>
          </w:rPr>
          <w:t>Главы 1–39</w:t>
        </w:r>
      </w:hyperlink>
      <w:r>
        <w:rPr>
          <w:lang w:val="ru_RU" w:bidi="ru_RU"/>
        </w:rPr>
        <w:t xml:space="preserve"> Книги пророка Исаии охватывают период от смерти Озии (740 г. до н.э.) до 701 г. до н.э. Во введении (</w:t>
      </w:r>
      <w:hyperlink r:id="rId21">
        <w:r>
          <w:rPr>
            <w:lang w:val="ru_RU" w:bidi="ru_RU"/>
          </w:rPr>
          <w:rPr>
            <w:color w:val="0000EE"/>
            <w:u w:val="single"/>
          </w:rPr>
          <w:t>гл. 1–5</w:t>
        </w:r>
      </w:hyperlink>
      <w:r>
        <w:rPr>
          <w:lang w:val="ru_RU" w:bidi="ru_RU"/>
        </w:rP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hyperlink r:id="rId14">
        <w:r>
          <w:rPr>
            <w:lang w:val="ru_RU" w:bidi="ru_RU"/>
          </w:rPr>
          <w:rPr>
            <w:color w:val="0000EE"/>
            <w:u w:val="single"/>
          </w:rPr>
          <w:t>главе 6</w:t>
        </w:r>
      </w:hyperlink>
      <w:r>
        <w:rPr>
          <w:lang w:val="ru_RU" w:bidi="ru_RU"/>
        </w:rP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hyperlink r:id="rId22">
        <w:r>
          <w:rPr>
            <w:lang w:val="ru_RU" w:bidi="ru_RU"/>
          </w:rPr>
          <w:rPr>
            <w:color w:val="0000EE"/>
            <w:u w:val="single"/>
          </w:rPr>
          <w:t>глав 13–35</w:t>
        </w:r>
      </w:hyperlink>
      <w:r>
        <w:rPr>
          <w:lang w:val="ru_RU" w:bidi="ru_RU"/>
        </w:rP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hyperlink r:id="rId23">
        <w:r>
          <w:rPr>
            <w:lang w:val="ru_RU" w:bidi="ru_RU"/>
          </w:rPr>
          <w:rPr>
            <w:color w:val="0000EE"/>
            <w:u w:val="single"/>
          </w:rPr>
          <w:t>главах 7–12</w:t>
        </w:r>
      </w:hyperlink>
      <w:r>
        <w:rPr>
          <w:lang w:val="ru_RU" w:bidi="ru_RU"/>
        </w:rPr>
        <w:t xml:space="preserve"> и с царём Езекией в </w:t>
      </w:r>
      <w:hyperlink r:id="rId24">
        <w:r>
          <w:rPr>
            <w:lang w:val="ru_RU" w:bidi="ru_RU"/>
          </w:rPr>
          <w:rPr>
            <w:color w:val="0000EE"/>
            <w:u w:val="single"/>
          </w:rPr>
          <w:t>главах 36–39</w:t>
        </w:r>
      </w:hyperlink>
      <w:r>
        <w:rPr>
          <w:lang w:val="ru_RU" w:bidi="ru_RU"/>
        </w:rP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hyperlink r:id="rId25">
        <w:r>
          <w:rPr>
            <w:lang w:val="ru_RU" w:bidi="ru_RU"/>
          </w:rPr>
          <w:rPr>
            <w:color w:val="0000EE"/>
            <w:u w:val="single"/>
          </w:rPr>
          <w:t>гл. 39</w:t>
        </w:r>
      </w:hyperlink>
      <w:r>
        <w:rPr>
          <w:lang w:val="ru_RU" w:bidi="ru_RU"/>
        </w:rPr>
        <w:t>), что подготовило почву для последующего поражения Иудеи Вавилоном и изгнания.</w:t>
      </w:r>
    </w:p>
    <w:p>
      <w:pPr/>
      <w:r>
        <w:rPr>
          <w:lang w:val="ru_RU" w:bidi="ru_RU"/>
        </w:rPr>
      </w:r>
      <w:r>
        <w:rPr>
          <w:lang w:val="ru_RU" w:bidi="ru_RU"/>
        </w:rPr>
        <w:t xml:space="preserve">В </w:t>
      </w:r>
      <w:hyperlink r:id="rId26">
        <w:r>
          <w:rPr>
            <w:lang w:val="ru_RU" w:bidi="ru_RU"/>
          </w:rPr>
          <w:rPr>
            <w:color w:val="0000EE"/>
            <w:u w:val="single"/>
          </w:rPr>
          <w:t>главах 40–55</w:t>
        </w:r>
      </w:hyperlink>
      <w:r>
        <w:rPr>
          <w:lang w:val="ru_RU" w:bidi="ru_RU"/>
        </w:rP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hyperlink r:id="rId27">
        <w:r>
          <w:rPr>
            <w:lang w:val="ru_RU" w:bidi="ru_RU"/>
          </w:rPr>
          <w:rPr>
            <w:color w:val="0000EE"/>
            <w:u w:val="single"/>
          </w:rPr>
          <w:t>главах 40–48</w:t>
        </w:r>
      </w:hyperlink>
      <w:r>
        <w:rPr>
          <w:lang w:val="ru_RU" w:bidi="ru_RU"/>
        </w:rP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hyperlink r:id="rId28">
        <w:r>
          <w:rPr>
            <w:lang w:val="ru_RU" w:bidi="ru_RU"/>
          </w:rPr>
          <w:rPr>
            <w:color w:val="0000EE"/>
            <w:u w:val="single"/>
          </w:rPr>
          <w:t>главах 49–55</w:t>
        </w:r>
      </w:hyperlink>
      <w:r>
        <w:rPr>
          <w:lang w:val="ru_RU" w:bidi="ru_RU"/>
        </w:rP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pPr/>
      <w:r>
        <w:rPr>
          <w:lang w:val="ru_RU" w:bidi="ru_RU"/>
        </w:rPr>
      </w:r>
      <w:r>
        <w:rPr>
          <w:lang w:val="ru_RU" w:bidi="ru_RU"/>
        </w:rPr>
        <w:t xml:space="preserve">В </w:t>
      </w:r>
      <w:hyperlink r:id="rId29">
        <w:r>
          <w:rPr>
            <w:lang w:val="ru_RU" w:bidi="ru_RU"/>
          </w:rPr>
          <w:rPr>
            <w:color w:val="0000EE"/>
            <w:u w:val="single"/>
          </w:rPr>
          <w:t>главах 56–66</w:t>
        </w:r>
      </w:hyperlink>
      <w:r>
        <w:rPr>
          <w:lang w:val="ru_RU" w:bidi="ru_RU"/>
        </w:rP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2"/>
      </w:pPr>
      <w:r>
        <w:rPr>
          <w:lang w:val="ru_RU" w:bidi="ru_RU"/>
        </w:rPr>
        <w:t>Авторство</w:t>
      </w:r>
    </w:p>
    <w:p>
      <w:pPr/>
      <w:r>
        <w:rPr>
          <w:lang w:val="ru_RU" w:bidi="ru_RU"/>
        </w:rPr>
      </w:r>
      <w:r>
        <w:rPr>
          <w:lang w:val="ru_RU" w:bidi="ru_RU"/>
        </w:rP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hyperlink r:id="rId30">
        <w:r>
          <w:rPr>
            <w:lang w:val="ru_RU" w:bidi="ru_RU"/>
          </w:rPr>
          <w:rPr>
            <w:color w:val="0000EE"/>
            <w:u w:val="single"/>
          </w:rPr>
          <w:t>Мф.8:17</w:t>
        </w:r>
      </w:hyperlink>
      <w:r>
        <w:rPr>
          <w:lang w:val="ru_RU" w:bidi="ru_RU"/>
        </w:rPr>
        <w:t xml:space="preserve">; </w:t>
      </w:r>
      <w:hyperlink r:id="rId31">
        <w:r>
          <w:rPr>
            <w:lang w:val="ru_RU" w:bidi="ru_RU"/>
          </w:rPr>
          <w:rPr>
            <w:color w:val="0000EE"/>
            <w:u w:val="single"/>
          </w:rPr>
          <w:t>12:17–21</w:t>
        </w:r>
      </w:hyperlink>
      <w:r>
        <w:rPr>
          <w:lang w:val="ru_RU" w:bidi="ru_RU"/>
        </w:rPr>
        <w:t xml:space="preserve">; </w:t>
      </w:r>
      <w:hyperlink r:id="rId32">
        <w:r>
          <w:rPr>
            <w:lang w:val="ru_RU" w:bidi="ru_RU"/>
          </w:rPr>
          <w:rPr>
            <w:color w:val="0000EE"/>
            <w:u w:val="single"/>
          </w:rPr>
          <w:t>Лк.3:4–6</w:t>
        </w:r>
      </w:hyperlink>
      <w:r>
        <w:rPr>
          <w:lang w:val="ru_RU" w:bidi="ru_RU"/>
        </w:rPr>
        <w:t xml:space="preserve">; </w:t>
      </w:r>
      <w:hyperlink r:id="rId33">
        <w:r>
          <w:rPr>
            <w:lang w:val="ru_RU" w:bidi="ru_RU"/>
          </w:rPr>
          <w:rPr>
            <w:color w:val="0000EE"/>
            <w:u w:val="single"/>
          </w:rPr>
          <w:t>Деян.8:28–35</w:t>
        </w:r>
      </w:hyperlink>
      <w:r>
        <w:rPr>
          <w:lang w:val="ru_RU" w:bidi="ru_RU"/>
        </w:rPr>
        <w:t xml:space="preserve">; </w:t>
      </w:r>
      <w:hyperlink r:id="rId34">
        <w:r>
          <w:rPr>
            <w:lang w:val="ru_RU" w:bidi="ru_RU"/>
          </w:rPr>
          <w:rPr>
            <w:color w:val="0000EE"/>
            <w:u w:val="single"/>
          </w:rPr>
          <w:t>Рим.10:16</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Из исторических ссылок в </w:t>
      </w:r>
      <w:hyperlink r:id="rId35">
        <w:r>
          <w:rPr>
            <w:lang w:val="ru_RU" w:bidi="ru_RU"/>
          </w:rPr>
          <w:rPr>
            <w:color w:val="0000EE"/>
            <w:u w:val="single"/>
          </w:rPr>
          <w:t>главах 6–39</w:t>
        </w:r>
      </w:hyperlink>
      <w:r>
        <w:rPr>
          <w:lang w:val="ru_RU" w:bidi="ru_RU"/>
        </w:rP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hyperlink r:id="rId36">
        <w:r>
          <w:rPr>
            <w:lang w:val="ru_RU" w:bidi="ru_RU"/>
          </w:rPr>
          <w:rPr>
            <w:color w:val="0000EE"/>
            <w:u w:val="single"/>
          </w:rPr>
          <w:t>главах 40–66</w:t>
        </w:r>
      </w:hyperlink>
      <w:r>
        <w:rPr>
          <w:lang w:val="ru_RU" w:bidi="ru_RU"/>
        </w:rP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hyperlink r:id="rId20">
        <w:r>
          <w:rPr>
            <w:lang w:val="ru_RU" w:bidi="ru_RU"/>
          </w:rPr>
          <w:rPr>
            <w:color w:val="0000EE"/>
            <w:u w:val="single"/>
          </w:rPr>
          <w:t>глав 1–39</w:t>
        </w:r>
      </w:hyperlink>
      <w:r>
        <w:rPr>
          <w:lang w:val="ru_RU" w:bidi="ru_RU"/>
        </w:rPr>
        <w:t xml:space="preserve"> и </w:t>
      </w:r>
      <w:hyperlink r:id="rId36">
        <w:r>
          <w:rPr>
            <w:lang w:val="ru_RU" w:bidi="ru_RU"/>
          </w:rPr>
          <w:rPr>
            <w:color w:val="0000EE"/>
            <w:u w:val="single"/>
          </w:rPr>
          <w:t>40–66</w:t>
        </w:r>
      </w:hyperlink>
      <w:r>
        <w:rPr>
          <w:lang w:val="ru_RU" w:bidi="ru_RU"/>
        </w:rPr>
        <w:t xml:space="preserve"> прошло более пятнадцати лет.</w:t>
      </w:r>
    </w:p>
    <w:p>
      <w:pPr>
        <w:pStyle w:val="Heading2"/>
      </w:pPr>
      <w:r>
        <w:rPr>
          <w:lang w:val="ru_RU" w:bidi="ru_RU"/>
        </w:rPr>
        <w:t>Литературные жанры</w:t>
      </w:r>
    </w:p>
    <w:p>
      <w:pPr/>
      <w:r>
        <w:rPr>
          <w:lang w:val="ru_RU" w:bidi="ru_RU"/>
        </w:rPr>
      </w:r>
      <w:r>
        <w:rPr>
          <w:lang w:val="ru_RU" w:bidi="ru_RU"/>
        </w:rPr>
        <w:t>Книга пророка Исаии содержит богатый набор поджанров:</w:t>
      </w:r>
    </w:p>
    <w:p>
      <w:pPr>
        <w:pStyle w:val="ListBullet"/>
        <w:spacing w:line="240" w:lineRule="auto"/>
        <w:ind w:left="720"/>
      </w:pPr>
      <w:r>
        <w:rPr>
          <w:lang w:val="ru_RU" w:bidi="ru_RU"/>
        </w:rPr>
      </w:r>
      <w:r>
        <w:rPr>
          <w:lang w:val="ru_RU" w:bidi="ru_RU"/>
        </w:rPr>
        <w:t>судные речи, предупреждающие Израиль, что Бог накажет их за грехи (</w:t>
      </w:r>
      <w:hyperlink r:id="rId37">
        <w:r>
          <w:rPr>
            <w:lang w:val="ru_RU" w:bidi="ru_RU"/>
          </w:rPr>
          <w:rPr>
            <w:color w:val="0000EE"/>
            <w:u w:val="single"/>
          </w:rPr>
          <w:t>9:8–21</w:t>
        </w:r>
      </w:hyperlink>
      <w:r>
        <w:rPr>
          <w:lang w:val="ru_RU" w:bidi="ru_RU"/>
        </w:rPr>
        <w:t>);</w:t>
      </w:r>
    </w:p>
    <w:p>
      <w:pPr>
        <w:pStyle w:val="ListBullet"/>
        <w:spacing w:line="240" w:lineRule="auto"/>
        <w:ind w:left="720"/>
      </w:pPr>
      <w:r>
        <w:rPr>
          <w:lang w:val="ru_RU" w:bidi="ru_RU"/>
        </w:rPr>
      </w:r>
      <w:r>
        <w:rPr>
          <w:lang w:val="ru_RU" w:bidi="ru_RU"/>
        </w:rPr>
        <w:t>пророчества о горе, оплакивающие приближающуюся смерть народа (</w:t>
      </w:r>
      <w:hyperlink r:id="rId38">
        <w:r>
          <w:rPr>
            <w:lang w:val="ru_RU" w:bidi="ru_RU"/>
          </w:rPr>
          <w:rPr>
            <w:color w:val="0000EE"/>
            <w:u w:val="single"/>
          </w:rPr>
          <w:t>5:8–30</w:t>
        </w:r>
      </w:hyperlink>
      <w:r>
        <w:rPr>
          <w:lang w:val="ru_RU" w:bidi="ru_RU"/>
        </w:rPr>
        <w:t xml:space="preserve">; </w:t>
      </w:r>
      <w:hyperlink r:id="rId39">
        <w:r>
          <w:rPr>
            <w:lang w:val="ru_RU" w:bidi="ru_RU"/>
          </w:rPr>
          <w:rPr>
            <w:color w:val="0000EE"/>
            <w:u w:val="single"/>
          </w:rPr>
          <w:t>29:1–12</w:t>
        </w:r>
      </w:hyperlink>
      <w:r>
        <w:rPr>
          <w:lang w:val="ru_RU" w:bidi="ru_RU"/>
        </w:rPr>
        <w:t xml:space="preserve">; </w:t>
      </w:r>
      <w:hyperlink r:id="rId40">
        <w:r>
          <w:rPr>
            <w:lang w:val="ru_RU" w:bidi="ru_RU"/>
          </w:rPr>
          <w:rPr>
            <w:color w:val="0000EE"/>
            <w:u w:val="single"/>
          </w:rPr>
          <w:t>31:1–9</w:t>
        </w:r>
      </w:hyperlink>
      <w:r>
        <w:rPr>
          <w:lang w:val="ru_RU" w:bidi="ru_RU"/>
        </w:rPr>
        <w:t>);</w:t>
      </w:r>
    </w:p>
    <w:p>
      <w:pPr>
        <w:pStyle w:val="ListBullet"/>
        <w:spacing w:line="240" w:lineRule="auto"/>
        <w:ind w:left="720"/>
      </w:pPr>
      <w:r>
        <w:rPr>
          <w:lang w:val="ru_RU" w:bidi="ru_RU"/>
        </w:rPr>
      </w:r>
      <w:r>
        <w:rPr>
          <w:lang w:val="ru_RU" w:bidi="ru_RU"/>
        </w:rPr>
        <w:t>притчи, призванные преподать урок из аналогии, которая в них содержится (</w:t>
      </w:r>
      <w:hyperlink r:id="rId41">
        <w:r>
          <w:rPr>
            <w:lang w:val="ru_RU" w:bidi="ru_RU"/>
          </w:rPr>
          <w:rPr>
            <w:color w:val="0000EE"/>
            <w:u w:val="single"/>
          </w:rPr>
          <w:t>5:1–8</w:t>
        </w:r>
      </w:hyperlink>
      <w:r>
        <w:rPr>
          <w:lang w:val="ru_RU" w:bidi="ru_RU"/>
        </w:rPr>
        <w:t xml:space="preserve">; </w:t>
      </w:r>
      <w:hyperlink r:id="rId42">
        <w:r>
          <w:rPr>
            <w:lang w:val="ru_RU" w:bidi="ru_RU"/>
          </w:rPr>
          <w:rPr>
            <w:color w:val="0000EE"/>
            <w:u w:val="single"/>
          </w:rPr>
          <w:t>27:2–6</w:t>
        </w:r>
      </w:hyperlink>
      <w:r>
        <w:rPr>
          <w:lang w:val="ru_RU" w:bidi="ru_RU"/>
        </w:rPr>
        <w:t>);</w:t>
      </w:r>
    </w:p>
    <w:p>
      <w:pPr>
        <w:pStyle w:val="ListBullet"/>
        <w:spacing w:line="240" w:lineRule="auto"/>
        <w:ind w:left="720"/>
      </w:pPr>
      <w:r>
        <w:rPr>
          <w:lang w:val="ru_RU" w:bidi="ru_RU"/>
        </w:rPr>
      </w:r>
      <w:r>
        <w:rPr>
          <w:lang w:val="ru_RU" w:bidi="ru_RU"/>
        </w:rPr>
        <w:t>судебные речи для доказательства своей правоты (</w:t>
      </w:r>
      <w:hyperlink r:id="rId43">
        <w:r>
          <w:rPr>
            <w:lang w:val="ru_RU" w:bidi="ru_RU"/>
          </w:rPr>
          <w:rPr>
            <w:color w:val="0000EE"/>
            <w:u w:val="single"/>
          </w:rPr>
          <w:t>41:21–29</w:t>
        </w:r>
      </w:hyperlink>
      <w:r>
        <w:rPr>
          <w:lang w:val="ru_RU" w:bidi="ru_RU"/>
        </w:rPr>
        <w:t>);</w:t>
      </w:r>
    </w:p>
    <w:p>
      <w:pPr>
        <w:pStyle w:val="ListBullet"/>
        <w:spacing w:line="240" w:lineRule="auto"/>
        <w:ind w:left="720"/>
      </w:pPr>
      <w:r>
        <w:rPr>
          <w:lang w:val="ru_RU" w:bidi="ru_RU"/>
        </w:rPr>
      </w:r>
      <w:r>
        <w:rPr>
          <w:lang w:val="ru_RU" w:bidi="ru_RU"/>
        </w:rPr>
        <w:t>спасительные пророчества о надежде на будущее (</w:t>
      </w:r>
      <w:hyperlink r:id="rId44">
        <w:r>
          <w:rPr>
            <w:lang w:val="ru_RU" w:bidi="ru_RU"/>
          </w:rPr>
          <w:rPr>
            <w:color w:val="0000EE"/>
            <w:u w:val="single"/>
          </w:rPr>
          <w:t>2:1–5</w:t>
        </w:r>
      </w:hyperlink>
      <w:r>
        <w:rPr>
          <w:lang w:val="ru_RU" w:bidi="ru_RU"/>
        </w:rPr>
        <w:t xml:space="preserve">; </w:t>
      </w:r>
      <w:hyperlink r:id="rId45">
        <w:r>
          <w:rPr>
            <w:lang w:val="ru_RU" w:bidi="ru_RU"/>
          </w:rPr>
          <w:rPr>
            <w:color w:val="0000EE"/>
            <w:u w:val="single"/>
          </w:rPr>
          <w:t>32:1–20</w:t>
        </w:r>
      </w:hyperlink>
      <w:r>
        <w:rPr>
          <w:lang w:val="ru_RU" w:bidi="ru_RU"/>
        </w:rPr>
        <w:t xml:space="preserve">; </w:t>
      </w:r>
      <w:hyperlink r:id="rId46">
        <w:r>
          <w:rPr>
            <w:lang w:val="ru_RU" w:bidi="ru_RU"/>
          </w:rPr>
          <w:rPr>
            <w:color w:val="0000EE"/>
            <w:u w:val="single"/>
          </w:rPr>
          <w:t>60:1–22</w:t>
        </w:r>
      </w:hyperlink>
      <w:r>
        <w:rPr>
          <w:lang w:val="ru_RU" w:bidi="ru_RU"/>
        </w:rPr>
        <w:t>);</w:t>
      </w:r>
    </w:p>
    <w:p>
      <w:pPr>
        <w:pStyle w:val="ListBullet"/>
        <w:spacing w:line="240" w:lineRule="auto"/>
        <w:ind w:left="720"/>
      </w:pPr>
      <w:r>
        <w:rPr>
          <w:lang w:val="ru_RU" w:bidi="ru_RU"/>
        </w:rPr>
      </w:r>
      <w:r>
        <w:rPr>
          <w:lang w:val="ru_RU" w:bidi="ru_RU"/>
        </w:rPr>
        <w:t>хвалебные гимны Богу за Его верность (</w:t>
      </w:r>
      <w:hyperlink r:id="rId47">
        <w:r>
          <w:rPr>
            <w:lang w:val="ru_RU" w:bidi="ru_RU"/>
          </w:rPr>
          <w:rPr>
            <w:color w:val="0000EE"/>
            <w:u w:val="single"/>
          </w:rPr>
          <w:t>12:1–6</w:t>
        </w:r>
      </w:hyperlink>
      <w:r>
        <w:rPr>
          <w:lang w:val="ru_RU" w:bidi="ru_RU"/>
        </w:rPr>
        <w:t xml:space="preserve">; </w:t>
      </w:r>
      <w:hyperlink r:id="rId48">
        <w:r>
          <w:rPr>
            <w:lang w:val="ru_RU" w:bidi="ru_RU"/>
          </w:rPr>
          <w:rPr>
            <w:color w:val="0000EE"/>
            <w:u w:val="single"/>
          </w:rPr>
          <w:t>26:1–6</w:t>
        </w:r>
      </w:hyperlink>
      <w:r>
        <w:rPr>
          <w:lang w:val="ru_RU" w:bidi="ru_RU"/>
        </w:rPr>
        <w:t>);</w:t>
      </w:r>
    </w:p>
    <w:p>
      <w:pPr>
        <w:pStyle w:val="ListBullet"/>
        <w:spacing w:line="240" w:lineRule="auto"/>
        <w:ind w:left="720"/>
      </w:pPr>
      <w:r>
        <w:rPr>
          <w:lang w:val="ru_RU" w:bidi="ru_RU"/>
        </w:rPr>
      </w:r>
      <w:r>
        <w:rPr>
          <w:lang w:val="ru_RU" w:bidi="ru_RU"/>
        </w:rPr>
        <w:t>пророчества против чужеземных народов (</w:t>
      </w:r>
      <w:hyperlink r:id="rId49">
        <w:r>
          <w:rPr>
            <w:lang w:val="ru_RU" w:bidi="ru_RU"/>
          </w:rPr>
          <w:rPr>
            <w:color w:val="0000EE"/>
            <w:u w:val="single"/>
          </w:rPr>
          <w:t>15:1–16:14</w:t>
        </w:r>
      </w:hyperlink>
      <w:r>
        <w:rPr>
          <w:lang w:val="ru_RU" w:bidi="ru_RU"/>
        </w:rPr>
        <w:t xml:space="preserve">; </w:t>
      </w:r>
      <w:hyperlink r:id="rId50">
        <w:r>
          <w:rPr>
            <w:lang w:val="ru_RU" w:bidi="ru_RU"/>
          </w:rPr>
          <w:rPr>
            <w:color w:val="0000EE"/>
            <w:u w:val="single"/>
          </w:rPr>
          <w:t>23:1–18</w:t>
        </w:r>
      </w:hyperlink>
      <w:r>
        <w:rPr>
          <w:lang w:val="ru_RU" w:bidi="ru_RU"/>
        </w:rPr>
        <w:t>);</w:t>
      </w:r>
    </w:p>
    <w:p>
      <w:pPr>
        <w:pStyle w:val="ListBullet"/>
        <w:spacing w:line="240" w:lineRule="auto"/>
        <w:ind w:left="720"/>
      </w:pPr>
      <w:r>
        <w:rPr>
          <w:lang w:val="ru_RU" w:bidi="ru_RU"/>
        </w:rPr>
      </w:r>
      <w:r>
        <w:rPr>
          <w:lang w:val="ru_RU" w:bidi="ru_RU"/>
        </w:rPr>
        <w:t>пророчества о грядущем Царе, Мессии (</w:t>
      </w:r>
      <w:hyperlink r:id="rId51">
        <w:r>
          <w:rPr>
            <w:lang w:val="ru_RU" w:bidi="ru_RU"/>
          </w:rPr>
          <w:rPr>
            <w:color w:val="0000EE"/>
            <w:u w:val="single"/>
          </w:rPr>
          <w:t>9:1–7</w:t>
        </w:r>
      </w:hyperlink>
      <w:r>
        <w:rPr>
          <w:lang w:val="ru_RU" w:bidi="ru_RU"/>
        </w:rPr>
        <w:t xml:space="preserve">; </w:t>
      </w:r>
      <w:hyperlink r:id="rId52">
        <w:r>
          <w:rPr>
            <w:lang w:val="ru_RU" w:bidi="ru_RU"/>
          </w:rPr>
          <w:rPr>
            <w:color w:val="0000EE"/>
            <w:u w:val="single"/>
          </w:rPr>
          <w:t>11:1–9</w:t>
        </w:r>
      </w:hyperlink>
      <w:r>
        <w:rPr>
          <w:lang w:val="ru_RU" w:bidi="ru_RU"/>
        </w:rPr>
        <w:t>);</w:t>
      </w:r>
    </w:p>
    <w:p>
      <w:pPr>
        <w:pStyle w:val="ListBullet"/>
        <w:spacing w:line="240" w:lineRule="auto"/>
        <w:ind w:left="720"/>
      </w:pPr>
      <w:r>
        <w:rPr>
          <w:lang w:val="ru_RU" w:bidi="ru_RU"/>
        </w:rPr>
      </w:r>
      <w:r>
        <w:rPr>
          <w:lang w:val="ru_RU" w:bidi="ru_RU"/>
        </w:rPr>
        <w:t>песни Отрока и Раба о Том, Кто пострадает за грехи других (</w:t>
      </w:r>
      <w:hyperlink r:id="rId53">
        <w:r>
          <w:rPr>
            <w:lang w:val="ru_RU" w:bidi="ru_RU"/>
          </w:rPr>
          <w:rPr>
            <w:color w:val="0000EE"/>
            <w:u w:val="single"/>
          </w:rPr>
          <w:t>42:1–9</w:t>
        </w:r>
      </w:hyperlink>
      <w:r>
        <w:rPr>
          <w:lang w:val="ru_RU" w:bidi="ru_RU"/>
        </w:rPr>
        <w:t xml:space="preserve">; </w:t>
      </w:r>
      <w:hyperlink r:id="rId54">
        <w:r>
          <w:rPr>
            <w:lang w:val="ru_RU" w:bidi="ru_RU"/>
          </w:rPr>
          <w:rPr>
            <w:color w:val="0000EE"/>
            <w:u w:val="single"/>
          </w:rPr>
          <w:t>52:13–53:12</w:t>
        </w:r>
      </w:hyperlink>
      <w:r>
        <w:rPr>
          <w:lang w:val="ru_RU" w:bidi="ru_RU"/>
        </w:rPr>
        <w:t>); и</w:t>
      </w:r>
    </w:p>
    <w:p>
      <w:pPr>
        <w:pStyle w:val="ListBullet"/>
        <w:spacing w:line="240" w:lineRule="auto"/>
        <w:ind w:left="720"/>
      </w:pPr>
      <w:r>
        <w:rPr>
          <w:lang w:val="ru_RU" w:bidi="ru_RU"/>
        </w:rPr>
      </w:r>
      <w:r>
        <w:rPr>
          <w:lang w:val="ru_RU" w:bidi="ru_RU"/>
        </w:rPr>
        <w:t>повествования о текущих событиях (</w:t>
      </w:r>
      <w:hyperlink r:id="rId55">
        <w:r>
          <w:rPr>
            <w:lang w:val="ru_RU" w:bidi="ru_RU"/>
          </w:rPr>
          <w:rPr>
            <w:color w:val="0000EE"/>
            <w:u w:val="single"/>
          </w:rPr>
          <w:t>36:1–22</w:t>
        </w:r>
      </w:hyperlink>
      <w:r>
        <w:rPr>
          <w:lang w:val="ru_RU" w:bidi="ru_RU"/>
        </w:rPr>
        <w:t xml:space="preserve">; </w:t>
      </w:r>
      <w:hyperlink r:id="rId25">
        <w:r>
          <w:rPr>
            <w:lang w:val="ru_RU" w:bidi="ru_RU"/>
          </w:rPr>
          <w:rPr>
            <w:color w:val="0000EE"/>
            <w:u w:val="single"/>
          </w:rPr>
          <w:t>39:1–8</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lang w:val="ru_RU" w:bidi="ru_RU"/>
        </w:rPr>
        <w:t>трансцендентном</w:t>
      </w:r>
      <w:r>
        <w:rPr>
          <w:lang w:val="ru_RU" w:bidi="ru_RU"/>
        </w:rPr>
        <w:t xml:space="preserve"> (выходящем за рамки нашего опыта). И всё же Святой и Превознесённый Бог открывает Себя и желает быть </w:t>
      </w:r>
      <w:r>
        <w:rPr>
          <w:i/>
          <w:lang w:val="ru_RU" w:bidi="ru_RU"/>
        </w:rPr>
        <w:t>Еммануилом</w:t>
      </w:r>
      <w:r>
        <w:rPr>
          <w:lang w:val="ru_RU" w:bidi="ru_RU"/>
        </w:rPr>
        <w:t xml:space="preserve"> («С нами Бог», </w:t>
      </w:r>
      <w:hyperlink r:id="rId56">
        <w:r>
          <w:rPr>
            <w:lang w:val="ru_RU" w:bidi="ru_RU"/>
          </w:rPr>
          <w:rPr>
            <w:color w:val="0000EE"/>
            <w:u w:val="single"/>
          </w:rPr>
          <w:t>7:14</w:t>
        </w:r>
      </w:hyperlink>
      <w:r>
        <w:rPr>
          <w:lang w:val="ru_RU" w:bidi="ru_RU"/>
        </w:rPr>
        <w:t xml:space="preserve">). Поэтому трансцендентный Бог также </w:t>
      </w:r>
      <w:r>
        <w:rPr>
          <w:i/>
          <w:lang w:val="ru_RU" w:bidi="ru_RU"/>
        </w:rPr>
        <w:t>имманентен</w:t>
      </w:r>
      <w:r>
        <w:rPr>
          <w:lang w:val="ru_RU" w:bidi="ru_RU"/>
        </w:rPr>
        <w:t xml:space="preserve"> (близок). Близость Бога готовит читателей Книги пророка Исаии к тому, чтобы принять Бога </w:t>
      </w:r>
      <w:r>
        <w:rPr>
          <w:i/>
          <w:lang w:val="ru_RU" w:bidi="ru_RU"/>
        </w:rPr>
        <w:t>воплощённого</w:t>
      </w:r>
      <w:r>
        <w:rPr>
          <w:lang w:val="ru_RU" w:bidi="ru_RU"/>
        </w:rPr>
        <w:t xml:space="preserve"> (в теле), Иисуса Христа, Который является истинным Еманнуилом (см. </w:t>
      </w:r>
      <w:hyperlink r:id="rId57">
        <w:r>
          <w:rPr>
            <w:lang w:val="ru_RU" w:bidi="ru_RU"/>
          </w:rPr>
          <w:rPr>
            <w:color w:val="0000EE"/>
            <w:u w:val="single"/>
          </w:rPr>
          <w:t>Мф.1:21–23</w:t>
        </w:r>
      </w:hyperlink>
      <w:r>
        <w:rPr>
          <w:lang w:val="ru_RU" w:bidi="ru_RU"/>
        </w:rPr>
        <w:t>).</w:t>
      </w:r>
    </w:p>
    <w:p>
      <w:pPr/>
      <w:r>
        <w:rPr>
          <w:lang w:val="ru_RU" w:bidi="ru_RU"/>
        </w:rPr>
      </w:r>
      <w:r>
        <w:rPr>
          <w:lang w:val="ru_RU" w:bidi="ru_RU"/>
        </w:rP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pPr/>
      <w:r>
        <w:rPr>
          <w:lang w:val="ru_RU" w:bidi="ru_RU"/>
        </w:rPr>
      </w:r>
      <w:r>
        <w:rPr>
          <w:lang w:val="ru_RU" w:bidi="ru_RU"/>
        </w:rP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pPr/>
      <w:r>
        <w:rPr>
          <w:lang w:val="ru_RU" w:bidi="ru_RU"/>
        </w:rPr>
      </w:r>
      <w:r>
        <w:rPr>
          <w:lang w:val="ru_RU" w:bidi="ru_RU"/>
        </w:rP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