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i/>
          <w:lang w:val="es_ES" w:bidi="es_ES"/>
        </w:rPr>
        <w:t>Amós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hyperlink r:id="rId13">
        <w:r>
          <w:rPr>
            <w:lang w:val="es_ES" w:bidi="es_ES"/>
          </w:rPr>
          <w:rPr>
            <w:color w:val="0000EE"/>
            <w:u w:val="single"/>
          </w:rPr>
          <w:t>4:12</w:t>
        </w:r>
      </w:hyperlink>
      <w:r>
        <w:rPr>
          <w:lang w:val="es_ES" w:bidi="es_ES"/>
        </w:rPr>
        <w:t>). Que haya “</w:t>
      </w:r>
      <w:r>
        <w:rPr>
          <w:lang w:val="es_ES" w:bidi="es_ES"/>
        </w:rPr>
        <w:t>justicia como impetuoso arroyo</w:t>
      </w:r>
      <w:r>
        <w:rPr>
          <w:lang w:val="es_ES" w:bidi="es_ES"/>
        </w:rPr>
        <w:t>”, advirtió Amós a los ricos que oprimían a los pobres (</w:t>
      </w:r>
      <w:hyperlink r:id="rId14">
        <w:r>
          <w:rPr>
            <w:lang w:val="es_ES" w:bidi="es_ES"/>
          </w:rPr>
          <w:rPr>
            <w:color w:val="0000EE"/>
            <w:u w:val="single"/>
          </w:rPr>
          <w:t>5:24</w:t>
        </w:r>
      </w:hyperlink>
      <w:r>
        <w:rPr>
          <w:lang w:val="es_ES" w:bidi="es_ES"/>
        </w:rPr>
        <w:t>). ¿Qué llevó a este pastor de Tecoa a Betel para pronunciar juicios tan contundentes? Amós no se ganaba la vida como profeta profesional (</w:t>
      </w:r>
      <w:hyperlink r:id="rId15">
        <w:r>
          <w:rPr>
            <w:lang w:val="es_ES" w:bidi="es_ES"/>
          </w:rPr>
          <w:rPr>
            <w:color w:val="0000EE"/>
            <w:u w:val="single"/>
          </w:rPr>
          <w:t>7:14</w:t>
        </w:r>
      </w:hyperlink>
      <w:r>
        <w:rPr>
          <w:lang w:val="es_ES" w:bidi="es_ES"/>
        </w:rPr>
        <w:t>); el “rugido” de Dios (</w:t>
      </w:r>
      <w:hyperlink r:id="rId16">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18">
        <w:r>
          <w:rPr>
            <w:lang w:val="es_ES" w:bidi="es_ES"/>
          </w:rPr>
          <w:rPr>
            <w:color w:val="0000EE"/>
            <w:u w:val="single"/>
          </w:rPr>
          <w:t>Ex 32</w:t>
        </w:r>
      </w:hyperlink>
      <w:r>
        <w:rPr>
          <w:lang w:val="es_ES" w:bidi="es_ES"/>
        </w:rPr>
        <w:t>), Jeroboam utilizó imágenes de becerros jóvenes para representar al Señor (</w:t>
      </w:r>
      <w:hyperlink r:id="rId19">
        <w:r>
          <w:rPr>
            <w:lang w:val="es_ES" w:bidi="es_ES"/>
          </w:rPr>
          <w:rPr>
            <w:color w:val="0000EE"/>
            <w:u w:val="single"/>
          </w:rPr>
          <w:t>1 Re 12:25–33</w:t>
        </w:r>
      </w:hyperlink>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hyperlink r:id="rId20">
        <w:r>
          <w:rPr>
            <w:lang w:val="es_ES" w:bidi="es_ES"/>
          </w:rPr>
          <w:rPr>
            <w:color w:val="0000EE"/>
            <w:u w:val="single"/>
          </w:rPr>
          <w:t>1 Re 12:29</w:t>
        </w:r>
      </w:hyperlink>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1">
        <w:r>
          <w:rPr>
            <w:lang w:val="es_ES" w:bidi="es_ES"/>
          </w:rPr>
          <w:rPr>
            <w:color w:val="0000EE"/>
            <w:u w:val="single"/>
          </w:rPr>
          <w:t>1 Re 18:21</w:t>
        </w:r>
      </w:hyperlink>
      <w:r>
        <w:rPr>
          <w:lang w:val="es_ES" w:bidi="es_ES"/>
        </w:rPr>
        <w:t>,</w:t>
      </w:r>
      <w:hyperlink r:id="rId22">
        <w:r>
          <w:rPr>
            <w:lang w:val="es_ES" w:bidi="es_ES"/>
          </w:rPr>
          <w:rPr>
            <w:color w:val="0000EE"/>
            <w:u w:val="single"/>
          </w:rPr>
          <w:t>24</w:t>
        </w:r>
      </w:hyperlink>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3">
        <w:r>
          <w:rPr>
            <w:lang w:val="es_ES" w:bidi="es_ES"/>
          </w:rPr>
          <w:rPr>
            <w:color w:val="0000EE"/>
            <w:u w:val="single"/>
          </w:rPr>
          <w:t>2 Re 14:23–29,</w:t>
        </w:r>
      </w:hyperlink>
      <w:r>
        <w:rPr>
          <w:lang w:val="es_ES" w:bidi="es_ES"/>
        </w:rPr>
        <w:t xml:space="preserve"> </w:t>
      </w:r>
      <w:hyperlink r:id="rId24">
        <w:r>
          <w:rPr>
            <w:lang w:val="es_ES" w:bidi="es_ES"/>
          </w:rPr>
          <w:rPr>
            <w:color w:val="0000EE"/>
            <w:u w:val="single"/>
          </w:rPr>
          <w:t>15:1–7</w:t>
        </w:r>
      </w:hyperlink>
      <w:r>
        <w:rPr>
          <w:lang w:val="es_ES" w:bidi="es_ES"/>
        </w:rPr>
        <w:t xml:space="preserve">; </w:t>
      </w:r>
      <w:hyperlink r:id="rId25">
        <w:r>
          <w:rPr>
            <w:lang w:val="es_ES" w:bidi="es_ES"/>
          </w:rPr>
          <w:rPr>
            <w:color w:val="0000EE"/>
            <w:u w:val="single"/>
          </w:rPr>
          <w:t>2 Cro 26:1–23</w:t>
        </w:r>
      </w:hyperlink>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hyperlink r:id="rId26">
        <w:r>
          <w:rPr>
            <w:lang w:val="es_ES" w:bidi="es_ES"/>
          </w:rPr>
          <w:rPr>
            <w:color w:val="0000EE"/>
            <w:u w:val="single"/>
          </w:rPr>
          <w:t>Am 1:1–2</w:t>
        </w:r>
      </w:hyperlink>
      <w:r>
        <w:rPr>
          <w:lang w:val="es_ES" w:bidi="es_ES"/>
        </w:rPr>
        <w:t>), la primera sección de Amós (</w:t>
      </w:r>
      <w:hyperlink r:id="rId27">
        <w:r>
          <w:rPr>
            <w:lang w:val="es_ES" w:bidi="es_ES"/>
          </w:rPr>
          <w:rPr>
            <w:color w:val="0000EE"/>
            <w:u w:val="single"/>
          </w:rPr>
          <w:t>1:3–2:16</w:t>
        </w:r>
      </w:hyperlink>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hyperlink r:id="rId28">
        <w:r>
          <w:rPr>
            <w:lang w:val="es_ES" w:bidi="es_ES"/>
          </w:rPr>
          <w:rPr>
            <w:color w:val="0000EE"/>
            <w:u w:val="single"/>
          </w:rPr>
          <w:t>3:1–5:17</w:t>
        </w:r>
      </w:hyperlink>
      <w:r>
        <w:rPr>
          <w:lang w:val="es_ES" w:bidi="es_ES"/>
        </w:rPr>
        <w:t>) está enmarcado por tres mensajes proféticos. El primero (</w:t>
      </w:r>
      <w:hyperlink r:id="rId29">
        <w:r>
          <w:rPr>
            <w:lang w:val="es_ES" w:bidi="es_ES"/>
          </w:rPr>
          <w:rPr>
            <w:color w:val="0000EE"/>
            <w:u w:val="single"/>
          </w:rPr>
          <w:t>3:1–2</w:t>
        </w:r>
      </w:hyperlink>
      <w:r>
        <w:rPr>
          <w:lang w:val="es_ES" w:bidi="es_ES"/>
        </w:rPr>
        <w:t>) acusa a Israel de abusar de su estatus privilegiado como el pueblo elegido por Dios. El segundo (</w:t>
      </w:r>
      <w:hyperlink r:id="rId30">
        <w:r>
          <w:rPr>
            <w:lang w:val="es_ES" w:bidi="es_ES"/>
          </w:rPr>
          <w:rPr>
            <w:color w:val="0000EE"/>
            <w:u w:val="single"/>
          </w:rPr>
          <w:t>4:1–3</w:t>
        </w:r>
      </w:hyperlink>
      <w:r>
        <w:rPr>
          <w:lang w:val="es_ES" w:bidi="es_ES"/>
        </w:rPr>
        <w:t>) es una acusación contra la multitud festiva de Israel. El tercero (</w:t>
      </w:r>
      <w:hyperlink r:id="rId31">
        <w:r>
          <w:rPr>
            <w:lang w:val="es_ES" w:bidi="es_ES"/>
          </w:rPr>
          <w:rPr>
            <w:color w:val="0000EE"/>
            <w:u w:val="single"/>
          </w:rPr>
          <w:t>5:1–2</w:t>
        </w:r>
      </w:hyperlink>
      <w:r>
        <w:rPr>
          <w:lang w:val="es_ES" w:bidi="es_ES"/>
        </w:rPr>
        <w:t>) es una canción fúnebre por la muerte predicha de la nación. Entre los mensajes proféticos, Amós incluye preguntas retóricas (</w:t>
      </w:r>
      <w:hyperlink r:id="rId32">
        <w:r>
          <w:rPr>
            <w:lang w:val="es_ES" w:bidi="es_ES"/>
          </w:rPr>
          <w:rPr>
            <w:color w:val="0000EE"/>
            <w:u w:val="single"/>
          </w:rPr>
          <w:t>3:3–6</w:t>
        </w:r>
      </w:hyperlink>
      <w:r>
        <w:rPr>
          <w:lang w:val="es_ES" w:bidi="es_ES"/>
        </w:rPr>
        <w:t>), metáforas de su vida como pastor (</w:t>
      </w:r>
      <w:hyperlink r:id="rId17">
        <w:r>
          <w:rPr>
            <w:lang w:val="es_ES" w:bidi="es_ES"/>
          </w:rPr>
          <w:rPr>
            <w:color w:val="0000EE"/>
            <w:u w:val="single"/>
          </w:rPr>
          <w:t>3:8</w:t>
        </w:r>
      </w:hyperlink>
      <w:r>
        <w:rPr>
          <w:lang w:val="es_ES" w:bidi="es_ES"/>
        </w:rPr>
        <w:t>,</w:t>
      </w:r>
      <w:hyperlink r:id="rId33">
        <w:r>
          <w:rPr>
            <w:lang w:val="es_ES" w:bidi="es_ES"/>
          </w:rPr>
          <w:rPr>
            <w:color w:val="0000EE"/>
            <w:u w:val="single"/>
          </w:rPr>
          <w:t>12</w:t>
        </w:r>
      </w:hyperlink>
      <w:r>
        <w:rPr>
          <w:lang w:val="es_ES" w:bidi="es_ES"/>
        </w:rPr>
        <w:t>), ironía sarcástica (</w:t>
      </w:r>
      <w:hyperlink r:id="rId34">
        <w:r>
          <w:rPr>
            <w:lang w:val="es_ES" w:bidi="es_ES"/>
          </w:rPr>
          <w:rPr>
            <w:color w:val="0000EE"/>
            <w:u w:val="single"/>
          </w:rPr>
          <w:t>4:4–5</w:t>
        </w:r>
      </w:hyperlink>
      <w:r>
        <w:rPr>
          <w:lang w:val="es_ES" w:bidi="es_ES"/>
        </w:rPr>
        <w:t>), recitación histórica (</w:t>
      </w:r>
      <w:hyperlink r:id="rId35">
        <w:r>
          <w:rPr>
            <w:lang w:val="es_ES" w:bidi="es_ES"/>
          </w:rPr>
          <w:rPr>
            <w:color w:val="0000EE"/>
            <w:u w:val="single"/>
          </w:rPr>
          <w:t>4:6–11</w:t>
        </w:r>
      </w:hyperlink>
      <w:r>
        <w:rPr>
          <w:lang w:val="es_ES" w:bidi="es_ES"/>
        </w:rPr>
        <w:t>), fragmentos de himnos (</w:t>
      </w:r>
      <w:hyperlink r:id="rId36">
        <w:r>
          <w:rPr>
            <w:lang w:val="es_ES" w:bidi="es_ES"/>
          </w:rPr>
          <w:rPr>
            <w:color w:val="0000EE"/>
            <w:u w:val="single"/>
          </w:rPr>
          <w:t>4:13,</w:t>
        </w:r>
      </w:hyperlink>
      <w:r>
        <w:rPr>
          <w:lang w:val="es_ES" w:bidi="es_ES"/>
        </w:rPr>
        <w:t xml:space="preserve"> </w:t>
      </w:r>
      <w:hyperlink r:id="rId37">
        <w:r>
          <w:rPr>
            <w:lang w:val="es_ES" w:bidi="es_ES"/>
          </w:rPr>
          <w:rPr>
            <w:color w:val="0000EE"/>
            <w:u w:val="single"/>
          </w:rPr>
          <w:t>5:8–9</w:t>
        </w:r>
      </w:hyperlink>
      <w:r>
        <w:rPr>
          <w:lang w:val="es_ES" w:bidi="es_ES"/>
        </w:rPr>
        <w:t>), juegos de palabras (</w:t>
      </w:r>
      <w:hyperlink r:id="rId38">
        <w:r>
          <w:rPr>
            <w:lang w:val="es_ES" w:bidi="es_ES"/>
          </w:rPr>
          <w:rPr>
            <w:color w:val="0000EE"/>
            <w:u w:val="single"/>
          </w:rPr>
          <w:t>5:5</w:t>
        </w:r>
      </w:hyperlink>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hyperlink r:id="rId39">
        <w:r>
          <w:rPr>
            <w:lang w:val="es_ES" w:bidi="es_ES"/>
          </w:rPr>
          <w:rPr>
            <w:color w:val="0000EE"/>
            <w:u w:val="single"/>
          </w:rPr>
          <w:t>5:18–6:14</w:t>
        </w:r>
      </w:hyperlink>
      <w:r>
        <w:rPr>
          <w:lang w:val="es_ES" w:bidi="es_ES"/>
        </w:rPr>
        <w:t>) contiene dos mensajes proféticos de lamentaciones: el primero es una advertencia para aquellos que proclaman el día del Señor como un momento en que Dios restablecerá a Israel como una nación líder (</w:t>
      </w:r>
      <w:hyperlink r:id="rId40">
        <w:r>
          <w:rPr>
            <w:lang w:val="es_ES" w:bidi="es_ES"/>
          </w:rPr>
          <w:rPr>
            <w:color w:val="0000EE"/>
            <w:u w:val="single"/>
          </w:rPr>
          <w:t>5:18–27</w:t>
        </w:r>
      </w:hyperlink>
      <w:r>
        <w:rPr>
          <w:lang w:val="es_ES" w:bidi="es_ES"/>
        </w:rPr>
        <w:t>); el segundo amonesta a quienes confían en sus riqueza, casas o fortificaciones para salvarse (</w:t>
      </w:r>
      <w:hyperlink r:id="rId41">
        <w:r>
          <w:rPr>
            <w:lang w:val="es_ES" w:bidi="es_ES"/>
          </w:rPr>
          <w:rPr>
            <w:color w:val="0000EE"/>
            <w:u w:val="single"/>
          </w:rPr>
          <w:t>6:1–14</w:t>
        </w:r>
      </w:hyperlink>
      <w:r>
        <w:rPr>
          <w:lang w:val="es_ES" w:bidi="es_ES"/>
        </w:rPr>
        <w:t>).</w:t>
      </w:r>
    </w:p>
    <w:p>
      <w:pPr/>
      <w:r>
        <w:rPr>
          <w:lang w:val="es_ES" w:bidi="es_ES"/>
        </w:rPr>
      </w:r>
      <w:r>
        <w:rPr>
          <w:lang w:val="es_ES" w:bidi="es_ES"/>
        </w:rPr>
        <w:t>La cuarta sección (</w:t>
      </w:r>
      <w:hyperlink r:id="rId42">
        <w:r>
          <w:rPr>
            <w:lang w:val="es_ES" w:bidi="es_ES"/>
          </w:rPr>
          <w:rPr>
            <w:color w:val="0000EE"/>
            <w:u w:val="single"/>
          </w:rPr>
          <w:t>7:1–9:10</w:t>
        </w:r>
      </w:hyperlink>
      <w:r>
        <w:rPr>
          <w:lang w:val="es_ES" w:bidi="es_ES"/>
        </w:rPr>
        <w:t>) contiene cinco oráculos proféticos basados en visiones. Amós primero gana a sus oyentes con visiones de dos juicios que serían evitados (</w:t>
      </w:r>
      <w:hyperlink r:id="rId43">
        <w:r>
          <w:rPr>
            <w:lang w:val="es_ES" w:bidi="es_ES"/>
          </w:rPr>
          <w:rPr>
            <w:color w:val="0000EE"/>
            <w:u w:val="single"/>
          </w:rPr>
          <w:t>7:1–6</w:t>
        </w:r>
      </w:hyperlink>
      <w:r>
        <w:rPr>
          <w:lang w:val="es_ES" w:bidi="es_ES"/>
        </w:rPr>
        <w:t>), pero luego refuerza su mensaje con dos juicios que no se evitarían (</w:t>
      </w:r>
      <w:hyperlink r:id="rId44">
        <w:r>
          <w:rPr>
            <w:lang w:val="es_ES" w:bidi="es_ES"/>
          </w:rPr>
          <w:rPr>
            <w:color w:val="0000EE"/>
            <w:u w:val="single"/>
          </w:rPr>
          <w:t>7:7–9,</w:t>
        </w:r>
      </w:hyperlink>
      <w:r>
        <w:rPr>
          <w:lang w:val="es_ES" w:bidi="es_ES"/>
        </w:rPr>
        <w:t xml:space="preserve"> </w:t>
      </w:r>
      <w:hyperlink r:id="rId45">
        <w:r>
          <w:rPr>
            <w:lang w:val="es_ES" w:bidi="es_ES"/>
          </w:rPr>
          <w:rPr>
            <w:color w:val="0000EE"/>
            <w:u w:val="single"/>
          </w:rPr>
          <w:t>8:1–3</w:t>
        </w:r>
      </w:hyperlink>
      <w:r>
        <w:rPr>
          <w:lang w:val="es_ES" w:bidi="es_ES"/>
        </w:rPr>
        <w:t>). Estas visiones son interrumpidas por una breve viñeta biográfica (</w:t>
      </w:r>
      <w:hyperlink r:id="rId46">
        <w:r>
          <w:rPr>
            <w:lang w:val="es_ES" w:bidi="es_ES"/>
          </w:rPr>
          <w:rPr>
            <w:color w:val="0000EE"/>
            <w:u w:val="single"/>
          </w:rPr>
          <w:t>7:10–17</w:t>
        </w:r>
      </w:hyperlink>
      <w:r>
        <w:rPr>
          <w:lang w:val="es_ES" w:bidi="es_ES"/>
        </w:rPr>
        <w:t>). La visión final es sobre la destrucción completa de Israel y su sistema religioso (</w:t>
      </w:r>
      <w:hyperlink r:id="rId47">
        <w:r>
          <w:rPr>
            <w:lang w:val="es_ES" w:bidi="es_ES"/>
          </w:rPr>
          <w:rPr>
            <w:color w:val="0000EE"/>
            <w:u w:val="single"/>
          </w:rPr>
          <w:t>9:1–10</w:t>
        </w:r>
      </w:hyperlink>
      <w:r>
        <w:rPr>
          <w:lang w:val="es_ES" w:bidi="es_ES"/>
        </w:rPr>
        <w:t>).</w:t>
      </w:r>
    </w:p>
    <w:p>
      <w:pPr/>
      <w:r>
        <w:rPr>
          <w:lang w:val="es_ES" w:bidi="es_ES"/>
        </w:rPr>
      </w:r>
      <w:r>
        <w:rPr>
          <w:lang w:val="es_ES" w:bidi="es_ES"/>
        </w:rPr>
        <w:t xml:space="preserve">Finalmente, en </w:t>
      </w:r>
      <w:hyperlink r:id="rId48">
        <w:r>
          <w:rPr>
            <w:lang w:val="es_ES" w:bidi="es_ES"/>
          </w:rPr>
          <w:rPr>
            <w:color w:val="0000EE"/>
            <w:u w:val="single"/>
          </w:rPr>
          <w:t>9:11–15</w:t>
        </w:r>
      </w:hyperlink>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hyperlink r:id="rId49">
        <w:r>
          <w:rPr>
            <w:lang w:val="es_ES" w:bidi="es_ES"/>
          </w:rPr>
          <w:rPr>
            <w:color w:val="0000EE"/>
            <w:u w:val="single"/>
          </w:rPr>
          <w:t>7:13</w:t>
        </w:r>
      </w:hyperlink>
      <w:r>
        <w:rPr>
          <w:lang w:val="es_ES" w:bidi="es_ES"/>
        </w:rPr>
        <w:t>), poco antes de la muerte de Jeroboam II en 753 a.C. (</w:t>
      </w:r>
      <w:hyperlink r:id="rId50">
        <w:r>
          <w:rPr>
            <w:lang w:val="es_ES" w:bidi="es_ES"/>
          </w:rPr>
          <w:rPr>
            <w:color w:val="0000EE"/>
            <w:u w:val="single"/>
          </w:rPr>
          <w:t>1:1</w:t>
        </w:r>
      </w:hyperlink>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hyperlink r:id="rId51">
        <w:r>
          <w:rPr>
            <w:lang w:val="es_ES" w:bidi="es_ES"/>
          </w:rPr>
          <w:rPr>
            <w:color w:val="0000EE"/>
            <w:u w:val="single"/>
          </w:rPr>
          <w:t>5:18–6:8</w:t>
        </w:r>
      </w:hyperlink>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hyperlink r:id="rId52">
        <w:r>
          <w:rPr>
            <w:lang w:val="es_ES" w:bidi="es_ES"/>
          </w:rPr>
          <w:rPr>
            <w:color w:val="0000EE"/>
            <w:u w:val="single"/>
          </w:rPr>
          <w:t>2:4–5</w:t>
        </w:r>
      </w:hyperlink>
      <w:r>
        <w:rPr>
          <w:lang w:val="es_ES" w:bidi="es_ES"/>
        </w:rPr>
        <w:t xml:space="preserve">). Por lo tanto, el libro incluye la condena de aquellos “que se recuestan en lujo en Jerusalén”, así como la acusación de los que están cómodamente seguros en Samaria (ver </w:t>
      </w:r>
      <w:hyperlink r:id="rId53">
        <w:r>
          <w:rPr>
            <w:lang w:val="es_ES" w:bidi="es_ES"/>
          </w:rPr>
          <w:rPr>
            <w:color w:val="0000EE"/>
            <w:u w:val="single"/>
          </w:rPr>
          <w:t>6:1</w:t>
        </w:r>
      </w:hyperlink>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hyperlink r:id="rId54">
        <w:r>
          <w:rPr>
            <w:lang w:val="es_ES" w:bidi="es_ES"/>
          </w:rPr>
          <w:rPr>
            <w:color w:val="0000EE"/>
            <w:u w:val="single"/>
          </w:rPr>
          <w:t>Sal 23:1</w:t>
        </w:r>
      </w:hyperlink>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hyperlink r:id="rId55">
        <w:r>
          <w:rPr>
            <w:lang w:val="es_ES" w:bidi="es_ES"/>
          </w:rPr>
          <w:rPr>
            <w:color w:val="0000EE"/>
            <w:u w:val="single"/>
          </w:rPr>
          <w:t>2 Re 3:4</w:t>
        </w:r>
      </w:hyperlink>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hyperlink r:id="rId15">
        <w:r>
          <w:rPr>
            <w:lang w:val="es_ES" w:bidi="es_ES"/>
          </w:rPr>
          <w:rPr>
            <w:color w:val="0000EE"/>
            <w:u w:val="single"/>
          </w:rPr>
          <w:t>7:14</w:t>
        </w:r>
      </w:hyperlink>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hyperlink r:id="rId15">
        <w:r>
          <w:rPr>
            <w:lang w:val="es_ES" w:bidi="es_ES"/>
          </w:rPr>
          <w:rPr>
            <w:color w:val="0000EE"/>
            <w:u w:val="single"/>
          </w:rPr>
          <w:t>7:14</w:t>
        </w:r>
      </w:hyperlink>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hyperlink r:id="rId56">
        <w:r>
          <w:rPr>
            <w:lang w:val="es_ES" w:bidi="es_ES"/>
          </w:rPr>
          <w:rPr>
            <w:color w:val="0000EE"/>
            <w:u w:val="single"/>
          </w:rPr>
          <w:t>Dt 24:10–22</w:t>
        </w:r>
      </w:hyperlink>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7">
        <w:r>
          <w:rPr>
            <w:lang w:val="es_ES" w:bidi="es_ES"/>
          </w:rPr>
          <w:rPr>
            <w:color w:val="0000EE"/>
            <w:u w:val="single"/>
          </w:rPr>
          <w:t>Gn 1:26–27</w:t>
        </w:r>
      </w:hyperlink>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