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3">
        <w:r>
          <w:rPr>
            <w:lang w:val="es_ES" w:bidi="es_ES"/>
          </w:rPr>
          <w:rPr>
            <w:color w:val="0000EE"/>
            <w:u w:val="single"/>
          </w:rPr>
          <w:t>Hec 2.10</w:t>
        </w:r>
      </w:hyperlink>
      <w:r>
        <w:rPr>
          <w:lang w:val="es_ES" w:bidi="es_ES"/>
        </w:rPr>
        <w:t>) regresaron a casa. Los creyentes romanos habían demostrado valor y resistencia (</w:t>
      </w:r>
      <w:hyperlink r:id="rId14">
        <w:r>
          <w:rPr>
            <w:lang w:val="es_ES" w:bidi="es_ES"/>
          </w:rPr>
          <w:rPr>
            <w:color w:val="0000EE"/>
            <w:u w:val="single"/>
          </w:rPr>
          <w:t>Heb 10.32–34</w:t>
        </w:r>
      </w:hyperlink>
      <w:r>
        <w:rPr>
          <w:lang w:val="es_ES" w:bidi="es_ES"/>
        </w:rPr>
        <w:t>), pero para cuando se escribió Hebreos, el fervor espiritual de algunos se había enfriado (</w:t>
      </w:r>
      <w:hyperlink r:id="rId15">
        <w:r>
          <w:rPr>
            <w:lang w:val="es_ES" w:bidi="es_ES"/>
          </w:rPr>
          <w:rPr>
            <w:color w:val="0000EE"/>
            <w:u w:val="single"/>
          </w:rPr>
          <w:t>5.11–14</w:t>
        </w:r>
      </w:hyperlink>
      <w:r>
        <w:rPr>
          <w:lang w:val="es_ES" w:bidi="es_ES"/>
        </w:rPr>
        <w:t>), y su perspectiva teológica estaba distorsionada (</w:t>
      </w:r>
      <w:hyperlink r:id="rId16">
        <w:r>
          <w:rPr>
            <w:lang w:val="es_ES" w:bidi="es_ES"/>
          </w:rPr>
          <w:rPr>
            <w:color w:val="0000EE"/>
            <w:u w:val="single"/>
          </w:rPr>
          <w:t>2.1</w:t>
        </w:r>
      </w:hyperlink>
      <w:r>
        <w:rPr>
          <w:lang w:val="es_ES" w:bidi="es_ES"/>
        </w:rPr>
        <w:t>). Algunos incluso habían abandonado a Cristo y la iglesia (</w:t>
      </w:r>
      <w:hyperlink r:id="rId17">
        <w:r>
          <w:rPr>
            <w:lang w:val="es_ES" w:bidi="es_ES"/>
          </w:rPr>
          <w:rPr>
            <w:color w:val="0000EE"/>
            <w:u w:val="single"/>
          </w:rPr>
          <w:t>6.4–8</w:t>
        </w:r>
      </w:hyperlink>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hyperlink r:id="rId18">
        <w:r>
          <w:rPr>
            <w:lang w:val="es_ES" w:bidi="es_ES"/>
          </w:rPr>
          <w:rPr>
            <w:color w:val="0000EE"/>
            <w:u w:val="single"/>
          </w:rPr>
          <w:t>1.1–4</w:t>
        </w:r>
      </w:hyperlink>
      <w:r>
        <w:rPr>
          <w:lang w:val="es_ES" w:bidi="es_ES"/>
        </w:rPr>
        <w:t>), la exposición del autor sobre la superioridad de Cristo se desarrolla en dos grandes movimientos. El primer movimiento (</w:t>
      </w:r>
      <w:hyperlink r:id="rId19">
        <w:r>
          <w:rPr>
            <w:lang w:val="es_ES" w:bidi="es_ES"/>
          </w:rPr>
          <w:rPr>
            <w:color w:val="0000EE"/>
            <w:u w:val="single"/>
          </w:rPr>
          <w:t>1.5–2.18</w:t>
        </w:r>
      </w:hyperlink>
      <w:r>
        <w:rPr>
          <w:lang w:val="es_ES" w:bidi="es_ES"/>
        </w:rPr>
        <w:t>) explica la relación del Hijo con los ángeles. Los ángeles son siervos (</w:t>
      </w:r>
      <w:hyperlink r:id="rId20">
        <w:r>
          <w:rPr>
            <w:lang w:val="es_ES" w:bidi="es_ES"/>
          </w:rPr>
          <w:rPr>
            <w:color w:val="0000EE"/>
            <w:u w:val="single"/>
          </w:rPr>
          <w:t>1.6–7</w:t>
        </w:r>
      </w:hyperlink>
      <w:r>
        <w:rPr>
          <w:lang w:val="es_ES" w:bidi="es_ES"/>
        </w:rPr>
        <w:t xml:space="preserve">, </w:t>
      </w:r>
      <w:hyperlink r:id="rId21">
        <w:r>
          <w:rPr>
            <w:lang w:val="es_ES" w:bidi="es_ES"/>
          </w:rPr>
          <w:rPr>
            <w:color w:val="0000EE"/>
            <w:u w:val="single"/>
          </w:rPr>
          <w:t>14</w:t>
        </w:r>
      </w:hyperlink>
      <w:r>
        <w:rPr>
          <w:lang w:val="es_ES" w:bidi="es_ES"/>
        </w:rPr>
        <w:t>), pero el Hijo exaltado (</w:t>
      </w:r>
      <w:hyperlink r:id="rId22">
        <w:r>
          <w:rPr>
            <w:lang w:val="es_ES" w:bidi="es_ES"/>
          </w:rPr>
          <w:rPr>
            <w:color w:val="0000EE"/>
            <w:u w:val="single"/>
          </w:rPr>
          <w:t>1.13</w:t>
        </w:r>
      </w:hyperlink>
      <w:r>
        <w:rPr>
          <w:lang w:val="es_ES" w:bidi="es_ES"/>
        </w:rPr>
        <w:t>), con su relación única con el Padre (</w:t>
      </w:r>
      <w:hyperlink r:id="rId23">
        <w:r>
          <w:rPr>
            <w:lang w:val="es_ES" w:bidi="es_ES"/>
          </w:rPr>
          <w:rPr>
            <w:color w:val="0000EE"/>
            <w:u w:val="single"/>
          </w:rPr>
          <w:t>1.5</w:t>
        </w:r>
      </w:hyperlink>
      <w:r>
        <w:rPr>
          <w:lang w:val="es_ES" w:bidi="es_ES"/>
        </w:rPr>
        <w:t>), es el Señor, creador y sustentador del universo— de hecho, él es Dios (</w:t>
      </w:r>
      <w:hyperlink r:id="rId24">
        <w:r>
          <w:rPr>
            <w:lang w:val="es_ES" w:bidi="es_ES"/>
          </w:rPr>
          <w:rPr>
            <w:color w:val="0000EE"/>
            <w:u w:val="single"/>
          </w:rPr>
          <w:t>1.8–12</w:t>
        </w:r>
      </w:hyperlink>
      <w:r>
        <w:rPr>
          <w:lang w:val="es_ES" w:bidi="es_ES"/>
        </w:rPr>
        <w:t>). El autor exhorta a los oyentes a prestar mucha atención al mensaje de salvación que se les ha enseñado (</w:t>
      </w:r>
      <w:hyperlink r:id="rId25">
        <w:r>
          <w:rPr>
            <w:lang w:val="es_ES" w:bidi="es_ES"/>
          </w:rPr>
          <w:rPr>
            <w:color w:val="0000EE"/>
            <w:u w:val="single"/>
          </w:rPr>
          <w:t>2.1–4</w:t>
        </w:r>
      </w:hyperlink>
      <w:r>
        <w:rPr>
          <w:lang w:val="es_ES" w:bidi="es_ES"/>
        </w:rPr>
        <w:t>), y luego reanuda la exposición. La posición exaltada de Cristo fue temporalmente inferior a los ángeles cuando se hizo humano (</w:t>
      </w:r>
      <w:hyperlink r:id="rId26">
        <w:r>
          <w:rPr>
            <w:lang w:val="es_ES" w:bidi="es_ES"/>
          </w:rPr>
          <w:rPr>
            <w:color w:val="0000EE"/>
            <w:u w:val="single"/>
          </w:rPr>
          <w:t>2.5–9</w:t>
        </w:r>
      </w:hyperlink>
      <w:r>
        <w:rPr>
          <w:lang w:val="es_ES" w:bidi="es_ES"/>
        </w:rPr>
        <w:t>); Jesús se hizo carne y sangre para morir y liberarnos (</w:t>
      </w:r>
      <w:hyperlink r:id="rId27">
        <w:r>
          <w:rPr>
            <w:lang w:val="es_ES" w:bidi="es_ES"/>
          </w:rPr>
          <w:rPr>
            <w:color w:val="0000EE"/>
            <w:u w:val="single"/>
          </w:rPr>
          <w:t>2.10–18</w:t>
        </w:r>
      </w:hyperlink>
      <w:r>
        <w:rPr>
          <w:lang w:val="es_ES" w:bidi="es_ES"/>
        </w:rPr>
        <w:t>). La primera exposición es seguida por una exhortación (</w:t>
      </w:r>
      <w:hyperlink r:id="rId28">
        <w:r>
          <w:rPr>
            <w:lang w:val="es_ES" w:bidi="es_ES"/>
          </w:rPr>
          <w:rPr>
            <w:color w:val="0000EE"/>
            <w:u w:val="single"/>
          </w:rPr>
          <w:t>3.1–4.13</w:t>
        </w:r>
      </w:hyperlink>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hyperlink r:id="rId29">
        <w:r>
          <w:rPr>
            <w:lang w:val="es_ES" w:bidi="es_ES"/>
          </w:rPr>
          <w:rPr>
            <w:color w:val="0000EE"/>
            <w:u w:val="single"/>
          </w:rPr>
          <w:t>4.14–10.18</w:t>
        </w:r>
      </w:hyperlink>
      <w:r>
        <w:rPr>
          <w:lang w:val="es_ES" w:bidi="es_ES"/>
        </w:rPr>
        <w:t xml:space="preserve">) aborda la posición del Hijo, nuestro Sumo Sacerdote, en relación al sistema sacrificial del Antiguo Testamento. Después de introducir este tema </w:t>
      </w:r>
      <w:hyperlink r:id="rId30">
        <w:r>
          <w:rPr>
            <w:lang w:val="es_ES" w:bidi="es_ES"/>
          </w:rPr>
          <w:rPr>
            <w:color w:val="0000EE"/>
            <w:u w:val="single"/>
          </w:rPr>
          <w:t>4.14–16</w:t>
        </w:r>
      </w:hyperlink>
      <w:r>
        <w:rPr>
          <w:lang w:val="es_ES" w:bidi="es_ES"/>
        </w:rPr>
        <w:t>, el autor aborda el nombramiento del Hijo como el sumo sacerdote superior (</w:t>
      </w:r>
      <w:hyperlink r:id="rId31">
        <w:r>
          <w:rPr>
            <w:lang w:val="es_ES" w:bidi="es_ES"/>
          </w:rPr>
          <w:rPr>
            <w:color w:val="0000EE"/>
            <w:u w:val="single"/>
          </w:rPr>
          <w:t>5.1–10</w:t>
        </w:r>
      </w:hyperlink>
      <w:r>
        <w:rPr>
          <w:lang w:val="es_ES" w:bidi="es_ES"/>
        </w:rPr>
        <w:t>) y confronta a la comunidad con su inmadurez espiritual (</w:t>
      </w:r>
      <w:hyperlink r:id="rId32">
        <w:r>
          <w:rPr>
            <w:lang w:val="es_ES" w:bidi="es_ES"/>
          </w:rPr>
          <w:rPr>
            <w:color w:val="0000EE"/>
            <w:u w:val="single"/>
          </w:rPr>
          <w:t>5.11–6.20</w:t>
        </w:r>
      </w:hyperlink>
      <w:r>
        <w:rPr>
          <w:lang w:val="es_ES" w:bidi="es_ES"/>
        </w:rPr>
        <w:t>). Una discusión sobre la superioridad de Melquisedec sobre los sacerdotes levíticos (</w:t>
      </w:r>
      <w:hyperlink r:id="rId33">
        <w:r>
          <w:rPr>
            <w:lang w:val="es_ES" w:bidi="es_ES"/>
          </w:rPr>
          <w:rPr>
            <w:color w:val="0000EE"/>
            <w:u w:val="single"/>
          </w:rPr>
          <w:t>7.1–10</w:t>
        </w:r>
      </w:hyperlink>
      <w:r>
        <w:rPr>
          <w:lang w:val="es_ES" w:bidi="es_ES"/>
        </w:rPr>
        <w:t>) establece las bases para presentar a Jesús como el Sumo Sacerdote superior según el orden de Melquisedec (</w:t>
      </w:r>
      <w:hyperlink r:id="rId34">
        <w:r>
          <w:rPr>
            <w:lang w:val="es_ES" w:bidi="es_ES"/>
          </w:rPr>
          <w:rPr>
            <w:color w:val="0000EE"/>
            <w:u w:val="single"/>
          </w:rPr>
          <w:t>7.11–28</w:t>
        </w:r>
      </w:hyperlink>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5">
        <w:r>
          <w:rPr>
            <w:lang w:val="es_ES" w:bidi="es_ES"/>
          </w:rPr>
          <w:rPr>
            <w:color w:val="0000EE"/>
            <w:u w:val="single"/>
          </w:rPr>
          <w:t>8.3–10.18</w:t>
        </w:r>
      </w:hyperlink>
      <w:r>
        <w:rPr>
          <w:lang w:val="es_ES" w:bidi="es_ES"/>
        </w:rPr>
        <w:t>). Como los sacerdotes terrenales, este sacerdote superior tuvo que hacer una ofrenda por los pecados, pero su ofrenda fue la ofrenda del nuevo pacto (</w:t>
      </w:r>
      <w:hyperlink r:id="rId36">
        <w:r>
          <w:rPr>
            <w:lang w:val="es_ES" w:bidi="es_ES"/>
          </w:rPr>
          <w:rPr>
            <w:color w:val="0000EE"/>
            <w:u w:val="single"/>
          </w:rPr>
          <w:t>8.7–13</w:t>
        </w:r>
      </w:hyperlink>
      <w:r>
        <w:rPr>
          <w:lang w:val="es_ES" w:bidi="es_ES"/>
        </w:rPr>
        <w:t>) que era superior al antiguo (</w:t>
      </w:r>
      <w:hyperlink r:id="rId37">
        <w:r>
          <w:rPr>
            <w:lang w:val="es_ES" w:bidi="es_ES"/>
          </w:rPr>
          <w:rPr>
            <w:color w:val="0000EE"/>
            <w:u w:val="single"/>
          </w:rPr>
          <w:t>9.1–10.18</w:t>
        </w:r>
      </w:hyperlink>
      <w:r>
        <w:rPr>
          <w:lang w:val="es_ES" w:bidi="es_ES"/>
        </w:rPr>
        <w:t>).</w:t>
      </w:r>
    </w:p>
    <w:p>
      <w:pPr/>
      <w:r>
        <w:rPr>
          <w:lang w:val="es_ES" w:bidi="es_ES"/>
        </w:rPr>
      </w:r>
      <w:r>
        <w:rPr>
          <w:lang w:val="es_ES" w:bidi="es_ES"/>
        </w:rPr>
        <w:t>La sección principal final (</w:t>
      </w:r>
      <w:hyperlink r:id="rId38">
        <w:r>
          <w:rPr>
            <w:lang w:val="es_ES" w:bidi="es_ES"/>
          </w:rPr>
          <w:rPr>
            <w:color w:val="0000EE"/>
            <w:u w:val="single"/>
          </w:rPr>
          <w:t>10.19–13.25</w:t>
        </w:r>
      </w:hyperlink>
      <w:r>
        <w:rPr>
          <w:lang w:val="es_ES" w:bidi="es_ES"/>
        </w:rPr>
        <w:t>) es una exhortación que desafía a los oyentes a responder con fidelidad al mensaje sobre Cristo. El libro termina con una bendición y una conclusión formal (</w:t>
      </w:r>
      <w:hyperlink r:id="rId39">
        <w:r>
          <w:rPr>
            <w:lang w:val="es_ES" w:bidi="es_ES"/>
          </w:rPr>
          <w:rPr>
            <w:color w:val="0000EE"/>
            <w:u w:val="single"/>
          </w:rPr>
          <w:t>13.20–25</w:t>
        </w:r>
      </w:hyperlink>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hyperlink r:id="rId40">
        <w:r>
          <w:rPr>
            <w:lang w:val="es_ES" w:bidi="es_ES"/>
          </w:rPr>
          <w:rPr>
            <w:color w:val="0000EE"/>
            <w:u w:val="single"/>
          </w:rPr>
          <w:t>2.3</w:t>
        </w:r>
      </w:hyperlink>
      <w:r>
        <w:rPr>
          <w:lang w:val="es_ES" w:bidi="es_ES"/>
        </w:rPr>
        <w:t xml:space="preserve">, el autor se describe como habiendo recibido la buena nueva de los testigos originales que siguieron a Cristo, y esto no suena en absoluto como Pablo (ver </w:t>
      </w:r>
      <w:hyperlink r:id="rId41">
        <w:r>
          <w:rPr>
            <w:lang w:val="es_ES" w:bidi="es_ES"/>
          </w:rPr>
          <w:rPr>
            <w:color w:val="0000EE"/>
            <w:u w:val="single"/>
          </w:rPr>
          <w:t>Ro 1.1,</w:t>
        </w:r>
      </w:hyperlink>
      <w:r>
        <w:rPr>
          <w:lang w:val="es_ES" w:bidi="es_ES"/>
        </w:rPr>
        <w:t xml:space="preserve"> </w:t>
      </w:r>
      <w:hyperlink r:id="rId42">
        <w:r>
          <w:rPr>
            <w:lang w:val="es_ES" w:bidi="es_ES"/>
          </w:rPr>
          <w:rPr>
            <w:color w:val="0000EE"/>
            <w:u w:val="single"/>
          </w:rPr>
          <w:t>1 Co 15.8,</w:t>
        </w:r>
      </w:hyperlink>
      <w:r>
        <w:rPr>
          <w:lang w:val="es_ES" w:bidi="es_ES"/>
        </w:rPr>
        <w:t xml:space="preserve"> </w:t>
      </w:r>
      <w:hyperlink r:id="rId43">
        <w:r>
          <w:rPr>
            <w:lang w:val="es_ES" w:bidi="es_ES"/>
          </w:rPr>
          <w:rPr>
            <w:color w:val="0000EE"/>
            <w:u w:val="single"/>
          </w:rPr>
          <w:t>Gal 1.11–16</w:t>
        </w:r>
      </w:hyperlink>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4">
        <w:r>
          <w:rPr>
            <w:lang w:val="es_ES" w:bidi="es_ES"/>
          </w:rPr>
          <w:rPr>
            <w:color w:val="0000EE"/>
            <w:u w:val="single"/>
          </w:rPr>
          <w:t>Hechos 18.24–26</w:t>
        </w:r>
      </w:hyperlink>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hyperlink r:id="rId45">
        <w:r>
          <w:rPr>
            <w:lang w:val="es_ES" w:bidi="es_ES"/>
          </w:rPr>
          <w:rPr>
            <w:color w:val="0000EE"/>
            <w:u w:val="single"/>
          </w:rPr>
          <w:t>Heb 13.24</w:t>
        </w:r>
      </w:hyperlink>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hyperlink r:id="rId46">
        <w:r>
          <w:rPr>
            <w:lang w:val="es_ES" w:bidi="es_ES"/>
          </w:rPr>
          <w:rPr>
            <w:color w:val="0000EE"/>
            <w:u w:val="single"/>
          </w:rPr>
          <w:t>Hebreos 10.32–39</w:t>
        </w:r>
      </w:hyperlink>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7">
        <w:r>
          <w:rPr>
            <w:lang w:val="es_ES" w:bidi="es_ES"/>
          </w:rPr>
          <w:rPr>
            <w:color w:val="0000EE"/>
            <w:u w:val="single"/>
          </w:rPr>
          <w:t>12.4</w:t>
        </w:r>
      </w:hyperlink>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hyperlink r:id="rId48">
        <w:r>
          <w:rPr>
            <w:lang w:val="es_ES" w:bidi="es_ES"/>
          </w:rPr>
          <w:rPr>
            <w:color w:val="0000EE"/>
            <w:u w:val="single"/>
          </w:rPr>
          <w:t>1.1–3</w:t>
        </w:r>
      </w:hyperlink>
      <w:r>
        <w:rPr>
          <w:lang w:val="es_ES" w:bidi="es_ES"/>
        </w:rPr>
        <w:t>), y hay graves consecuencias para aquellos que no escuchan y responden con obediencia a su palabra (</w:t>
      </w:r>
      <w:hyperlink r:id="rId49">
        <w:r>
          <w:rPr>
            <w:lang w:val="es_ES" w:bidi="es_ES"/>
          </w:rPr>
          <w:rPr>
            <w:color w:val="0000EE"/>
            <w:u w:val="single"/>
          </w:rPr>
          <w:t>2.1–3</w:t>
        </w:r>
      </w:hyperlink>
      <w:r>
        <w:rPr>
          <w:lang w:val="es_ES" w:bidi="es_ES"/>
        </w:rPr>
        <w:t>). Al final, Jesús, el creador y sustentador del universo (</w:t>
      </w:r>
      <w:hyperlink r:id="rId50">
        <w:r>
          <w:rPr>
            <w:lang w:val="es_ES" w:bidi="es_ES"/>
          </w:rPr>
          <w:rPr>
            <w:color w:val="0000EE"/>
            <w:u w:val="single"/>
          </w:rPr>
          <w:t>1.2–3</w:t>
        </w:r>
      </w:hyperlink>
      <w:r>
        <w:rPr>
          <w:lang w:val="es_ES" w:bidi="es_ES"/>
        </w:rPr>
        <w:t>), apartará el orden creado como una persona enrolla una prenda de ropa vieja (</w:t>
      </w:r>
      <w:hyperlink r:id="rId51">
        <w:r>
          <w:rPr>
            <w:lang w:val="es_ES" w:bidi="es_ES"/>
          </w:rPr>
          <w:rPr>
            <w:color w:val="0000EE"/>
            <w:u w:val="single"/>
          </w:rPr>
          <w:t>1.10–12</w:t>
        </w:r>
      </w:hyperlink>
      <w:r>
        <w:rPr>
          <w:lang w:val="es_ES" w:bidi="es_ES"/>
        </w:rPr>
        <w:t>).</w:t>
      </w:r>
    </w:p>
    <w:p>
      <w:pPr/>
      <w:r>
        <w:rPr>
          <w:lang w:val="es_ES" w:bidi="es_ES"/>
        </w:rPr>
      </w:r>
      <w:r>
        <w:rPr>
          <w:lang w:val="es_ES" w:bidi="es_ES"/>
        </w:rPr>
        <w:t>Jesús es supremamente digno de nuestro compromiso, adoración y perseverancia en la fe. Él es superior a los ángeles (</w:t>
      </w:r>
      <w:hyperlink r:id="rId52">
        <w:r>
          <w:rPr>
            <w:lang w:val="es_ES" w:bidi="es_ES"/>
          </w:rPr>
          <w:rPr>
            <w:color w:val="0000EE"/>
            <w:u w:val="single"/>
          </w:rPr>
          <w:t>1.5–14</w:t>
        </w:r>
      </w:hyperlink>
      <w:r>
        <w:rPr>
          <w:lang w:val="es_ES" w:bidi="es_ES"/>
        </w:rPr>
        <w:t>), a Moisés (</w:t>
      </w:r>
      <w:hyperlink r:id="rId53">
        <w:r>
          <w:rPr>
            <w:lang w:val="es_ES" w:bidi="es_ES"/>
          </w:rPr>
          <w:rPr>
            <w:color w:val="0000EE"/>
            <w:u w:val="single"/>
          </w:rPr>
          <w:t>3.1–6</w:t>
        </w:r>
      </w:hyperlink>
      <w:r>
        <w:rPr>
          <w:lang w:val="es_ES" w:bidi="es_ES"/>
        </w:rPr>
        <w:t>) y al sacerdocio levítico del antiguo pacto (</w:t>
      </w:r>
      <w:hyperlink r:id="rId31">
        <w:r>
          <w:rPr>
            <w:lang w:val="es_ES" w:bidi="es_ES"/>
          </w:rPr>
          <w:rPr>
            <w:color w:val="0000EE"/>
            <w:u w:val="single"/>
          </w:rPr>
          <w:t>5.1–10,</w:t>
        </w:r>
      </w:hyperlink>
      <w:r>
        <w:rPr>
          <w:lang w:val="es_ES" w:bidi="es_ES"/>
        </w:rPr>
        <w:t xml:space="preserve"> </w:t>
      </w:r>
      <w:hyperlink r:id="rId54">
        <w:r>
          <w:rPr>
            <w:lang w:val="es_ES" w:bidi="es_ES"/>
          </w:rPr>
          <w:rPr>
            <w:color w:val="0000EE"/>
            <w:u w:val="single"/>
          </w:rPr>
          <w:t>7.1–28</w:t>
        </w:r>
      </w:hyperlink>
      <w:r>
        <w:rPr>
          <w:lang w:val="es_ES" w:bidi="es_ES"/>
        </w:rPr>
        <w:t>).</w:t>
      </w:r>
    </w:p>
    <w:p>
      <w:pPr/>
      <w:r>
        <w:rPr>
          <w:lang w:val="es_ES" w:bidi="es_ES"/>
        </w:rPr>
      </w:r>
      <w:r>
        <w:rPr>
          <w:lang w:val="es_ES" w:bidi="es_ES"/>
        </w:rPr>
        <w:t>Jesús hizo un nuevo pacto celestial, ofreciéndose una vez por todas a través de su propia muerte (</w:t>
      </w:r>
      <w:hyperlink r:id="rId35">
        <w:r>
          <w:rPr>
            <w:lang w:val="es_ES" w:bidi="es_ES"/>
          </w:rPr>
          <w:rPr>
            <w:color w:val="0000EE"/>
            <w:u w:val="single"/>
          </w:rPr>
          <w:t>8.3–10.18</w:t>
        </w:r>
      </w:hyperlink>
      <w:r>
        <w:rPr>
          <w:lang w:val="es_ES" w:bidi="es_ES"/>
        </w:rPr>
        <w:t>). En su encarnación soportó como un Hijo fiel (</w:t>
      </w:r>
      <w:hyperlink r:id="rId53">
        <w:r>
          <w:rPr>
            <w:lang w:val="es_ES" w:bidi="es_ES"/>
          </w:rPr>
          <w:rPr>
            <w:color w:val="0000EE"/>
            <w:u w:val="single"/>
          </w:rPr>
          <w:t>3.1–6,</w:t>
        </w:r>
      </w:hyperlink>
      <w:r>
        <w:rPr>
          <w:lang w:val="es_ES" w:bidi="es_ES"/>
        </w:rPr>
        <w:t xml:space="preserve"> </w:t>
      </w:r>
      <w:hyperlink r:id="rId55">
        <w:r>
          <w:rPr>
            <w:lang w:val="es_ES" w:bidi="es_ES"/>
          </w:rPr>
          <w:rPr>
            <w:color w:val="0000EE"/>
            <w:u w:val="single"/>
          </w:rPr>
          <w:t>5.7–8,</w:t>
        </w:r>
      </w:hyperlink>
      <w:r>
        <w:rPr>
          <w:lang w:val="es_ES" w:bidi="es_ES"/>
        </w:rPr>
        <w:t xml:space="preserve"> </w:t>
      </w:r>
      <w:hyperlink r:id="rId56">
        <w:r>
          <w:rPr>
            <w:lang w:val="es_ES" w:bidi="es_ES"/>
          </w:rPr>
          <w:rPr>
            <w:color w:val="0000EE"/>
            <w:u w:val="single"/>
          </w:rPr>
          <w:t>12.1–2</w:t>
        </w:r>
      </w:hyperlink>
      <w:r>
        <w:rPr>
          <w:lang w:val="es_ES" w:bidi="es_ES"/>
        </w:rPr>
        <w:t>), y en su exaltación, reina como el supremo Señor del universo (</w:t>
      </w:r>
      <w:hyperlink r:id="rId57">
        <w:r>
          <w:rPr>
            <w:lang w:val="es_ES" w:bidi="es_ES"/>
          </w:rPr>
          <w:rPr>
            <w:color w:val="0000EE"/>
            <w:u w:val="single"/>
          </w:rPr>
          <w:t>1.2–4</w:t>
        </w:r>
      </w:hyperlink>
      <w:r>
        <w:rPr>
          <w:lang w:val="es_ES" w:bidi="es_ES"/>
        </w:rPr>
        <w:t xml:space="preserve">, </w:t>
      </w:r>
      <w:hyperlink r:id="rId58">
        <w:r>
          <w:rPr>
            <w:lang w:val="es_ES" w:bidi="es_ES"/>
          </w:rPr>
          <w:rPr>
            <w:color w:val="0000EE"/>
            <w:u w:val="single"/>
          </w:rPr>
          <w:t>8–13</w:t>
        </w:r>
      </w:hyperlink>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hyperlink r:id="rId59">
        <w:r>
          <w:rPr>
            <w:lang w:val="es_ES" w:bidi="es_ES"/>
          </w:rPr>
          <w:rPr>
            <w:color w:val="0000EE"/>
            <w:u w:val="single"/>
          </w:rPr>
          <w:t>6.13–15,</w:t>
        </w:r>
      </w:hyperlink>
      <w:r>
        <w:rPr>
          <w:lang w:val="es_ES" w:bidi="es_ES"/>
        </w:rPr>
        <w:t xml:space="preserve"> </w:t>
      </w:r>
      <w:hyperlink r:id="rId46">
        <w:r>
          <w:rPr>
            <w:lang w:val="es_ES" w:bidi="es_ES"/>
          </w:rPr>
          <w:rPr>
            <w:color w:val="0000EE"/>
            <w:u w:val="single"/>
          </w:rPr>
          <w:t>10.32–39,</w:t>
        </w:r>
      </w:hyperlink>
      <w:r>
        <w:rPr>
          <w:lang w:val="es_ES" w:bidi="es_ES"/>
        </w:rPr>
        <w:t xml:space="preserve"> </w:t>
      </w:r>
      <w:hyperlink r:id="rId60">
        <w:r>
          <w:rPr>
            <w:lang w:val="es_ES" w:bidi="es_ES"/>
          </w:rPr>
          <w:rPr>
            <w:color w:val="0000EE"/>
            <w:u w:val="single"/>
          </w:rPr>
          <w:t>11.1–40</w:t>
        </w:r>
      </w:hyperlink>
      <w:r>
        <w:rPr>
          <w:lang w:val="es_ES" w:bidi="es_ES"/>
        </w:rPr>
        <w:t xml:space="preserve">), y ejemplos negativos de aquellos que cayeron debido a desobediencia (ver </w:t>
      </w:r>
      <w:hyperlink r:id="rId61">
        <w:r>
          <w:rPr>
            <w:lang w:val="es_ES" w:bidi="es_ES"/>
          </w:rPr>
          <w:rPr>
            <w:color w:val="0000EE"/>
            <w:u w:val="single"/>
          </w:rPr>
          <w:t>3.7–19,</w:t>
        </w:r>
      </w:hyperlink>
      <w:r>
        <w:rPr>
          <w:lang w:val="es_ES" w:bidi="es_ES"/>
        </w:rPr>
        <w:t xml:space="preserve"> </w:t>
      </w:r>
      <w:hyperlink r:id="rId17">
        <w:r>
          <w:rPr>
            <w:lang w:val="es_ES" w:bidi="es_ES"/>
          </w:rPr>
          <w:rPr>
            <w:color w:val="0000EE"/>
            <w:u w:val="single"/>
          </w:rPr>
          <w:t>6.4–8</w:t>
        </w:r>
      </w:hyperlink>
      <w:r>
        <w:rPr>
          <w:lang w:val="es_ES" w:bidi="es_ES"/>
        </w:rPr>
        <w:t>). Y podemos abrazar las promesas de Dios para nosotros con respecto a nuestra herencia como sus hijos (</w:t>
      </w:r>
      <w:hyperlink r:id="rId62">
        <w:r>
          <w:rPr>
            <w:lang w:val="es_ES" w:bidi="es_ES"/>
          </w:rPr>
          <w:rPr>
            <w:color w:val="0000EE"/>
            <w:u w:val="single"/>
          </w:rPr>
          <w:t>4.3–11,</w:t>
        </w:r>
      </w:hyperlink>
      <w:r>
        <w:rPr>
          <w:lang w:val="es_ES" w:bidi="es_ES"/>
        </w:rPr>
        <w:t xml:space="preserve"> </w:t>
      </w:r>
      <w:hyperlink r:id="rId63">
        <w:r>
          <w:rPr>
            <w:lang w:val="es_ES" w:bidi="es_ES"/>
          </w:rPr>
          <w:rPr>
            <w:color w:val="0000EE"/>
            <w:u w:val="single"/>
          </w:rPr>
          <w:t>6.13–20,</w:t>
        </w:r>
      </w:hyperlink>
      <w:r>
        <w:rPr>
          <w:lang w:val="es_ES" w:bidi="es_ES"/>
        </w:rPr>
        <w:t xml:space="preserve"> </w:t>
      </w:r>
      <w:hyperlink r:id="rId64">
        <w:r>
          <w:rPr>
            <w:lang w:val="es_ES" w:bidi="es_ES"/>
          </w:rPr>
          <w:rPr>
            <w:color w:val="0000EE"/>
            <w:u w:val="single"/>
          </w:rPr>
          <w:t>12.22–24</w:t>
        </w:r>
      </w:hyperlink>
      <w:r>
        <w:rPr>
          <w:lang w:val="es_ES" w:bidi="es_ES"/>
        </w:rPr>
        <w:t>).</w:t>
      </w:r>
    </w:p>
    <w:p>
      <w:pPr/>
      <w:r>
        <w:rPr>
          <w:lang w:val="es_ES" w:bidi="es_ES"/>
        </w:rPr>
      </w:r>
      <w:r>
        <w:rPr>
          <w:lang w:val="es_ES" w:bidi="es_ES"/>
        </w:rPr>
        <w:t>Gracias a Jesús, podemos vivir como miembros fieles de la comunidad cristiana en nuestras relaciones y nuestra adoración (</w:t>
      </w:r>
      <w:hyperlink r:id="rId65">
        <w:r>
          <w:rPr>
            <w:lang w:val="es_ES" w:bidi="es_ES"/>
          </w:rPr>
          <w:rPr>
            <w:color w:val="0000EE"/>
            <w:u w:val="single"/>
          </w:rPr>
          <w:t>13.1–17</w:t>
        </w:r>
      </w:hyperlink>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