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hyperlink r:id="rId13">
        <w:r>
          <w:rPr>
            <w:lang w:val="sw_KE" w:bidi="sw_KE"/>
          </w:rPr>
          <w:rPr>
            <w:color w:val="0000EE"/>
            <w:u w:val="single"/>
          </w:rPr>
          <w:t>Dani 5</w:t>
        </w:r>
      </w:hyperlink>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4">
        <w:r>
          <w:rPr>
            <w:lang w:val="sw_KE" w:bidi="sw_KE"/>
          </w:rPr>
          <w:rPr>
            <w:color w:val="0000EE"/>
            <w:u w:val="single"/>
          </w:rPr>
          <w:t>Dani 5:30–31</w:t>
        </w:r>
      </w:hyperlink>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hyperlink r:id="rId15">
        <w:r>
          <w:rPr>
            <w:lang w:val="sw_KE" w:bidi="sw_KE"/>
          </w:rPr>
          <w:rPr>
            <w:color w:val="0000EE"/>
            <w:u w:val="single"/>
          </w:rPr>
          <w:t>1 Nya 1:1–9:44</w:t>
        </w:r>
      </w:hyperlink>
      <w:r>
        <w:rPr>
          <w:lang w:val="sw_KE" w:bidi="sw_KE"/>
        </w:rPr>
        <w:t>), na maandalizi ya Daudi ya Yerusalemu kwa ajili ya hekalu na utawala wa Solomoni (</w:t>
      </w:r>
      <w:hyperlink r:id="rId16">
        <w:r>
          <w:rPr>
            <w:lang w:val="sw_KE" w:bidi="sw_KE"/>
          </w:rPr>
          <w:rPr>
            <w:color w:val="0000EE"/>
            <w:u w:val="single"/>
          </w:rPr>
          <w:t>10:1–29:30</w:t>
        </w:r>
      </w:hyperlink>
      <w:r>
        <w:rPr>
          <w:lang w:val="sw_KE" w:bidi="sw_KE"/>
        </w:rPr>
        <w:t>).</w:t>
      </w:r>
    </w:p>
    <w:p>
      <w:pPr/>
      <w:r>
        <w:rPr>
          <w:lang w:val="sw_KE" w:bidi="sw_KE"/>
        </w:rPr>
      </w:r>
      <w:r>
        <w:rPr>
          <w:lang w:val="sw_KE" w:bidi="sw_KE"/>
        </w:rPr>
        <w:t>Sura ya kwanza ya nasaba (</w:t>
      </w:r>
      <w:hyperlink r:id="rId17">
        <w:r>
          <w:rPr>
            <w:lang w:val="sw_KE" w:bidi="sw_KE"/>
          </w:rPr>
          <w:rPr>
            <w:color w:val="0000EE"/>
            <w:u w:val="single"/>
          </w:rPr>
          <w:t>sura 1</w:t>
        </w:r>
      </w:hyperlink>
      <w:r>
        <w:rPr>
          <w:lang w:val="sw_KE" w:bidi="sw_KE"/>
        </w:rPr>
        <w:t xml:space="preserve">) inaelezea jinsi Mungu alivyowachagua watu maalum kutoka kwa Adamu hadi Yakobo (= Israeli). </w:t>
      </w:r>
      <w:hyperlink r:id="rId18">
        <w:r>
          <w:rPr>
            <w:lang w:val="sw_KE" w:bidi="sw_KE"/>
          </w:rPr>
          <w:rPr>
            <w:color w:val="0000EE"/>
            <w:u w:val="single"/>
          </w:rPr>
          <w:t>Sura 2–8</w:t>
        </w:r>
      </w:hyperlink>
      <w:r>
        <w:rPr>
          <w:lang w:val="sw_KE" w:bidi="sw_KE"/>
        </w:rPr>
        <w:t xml:space="preserve"> zinahusu Waisraeli kutoka Yakobo hadi uhamisho kwenda Babeli. Sehemu hii kwanza inaelezea kabila la Yuda (</w:t>
      </w:r>
      <w:hyperlink r:id="rId19">
        <w:r>
          <w:rPr>
            <w:lang w:val="sw_KE" w:bidi="sw_KE"/>
          </w:rPr>
          <w:rPr>
            <w:color w:val="0000EE"/>
            <w:u w:val="single"/>
          </w:rPr>
          <w:t>sura 2–4</w:t>
        </w:r>
      </w:hyperlink>
      <w:r>
        <w:rPr>
          <w:lang w:val="sw_KE" w:bidi="sw_KE"/>
        </w:rPr>
        <w:t>), ikijadili nyumba ya Daudi katika sehemu ya kati (</w:t>
      </w:r>
      <w:hyperlink r:id="rId20">
        <w:r>
          <w:rPr>
            <w:lang w:val="sw_KE" w:bidi="sw_KE"/>
          </w:rPr>
          <w:rPr>
            <w:color w:val="0000EE"/>
            <w:u w:val="single"/>
          </w:rPr>
          <w:t>sura 3</w:t>
        </w:r>
      </w:hyperlink>
      <w:r>
        <w:rPr>
          <w:lang w:val="sw_KE" w:bidi="sw_KE"/>
        </w:rPr>
        <w:t>), na kisha inaelezea makabila mengine ya Israeli (</w:t>
      </w:r>
      <w:hyperlink r:id="rId21">
        <w:r>
          <w:rPr>
            <w:lang w:val="sw_KE" w:bidi="sw_KE"/>
          </w:rPr>
          <w:rPr>
            <w:color w:val="0000EE"/>
            <w:u w:val="single"/>
          </w:rPr>
          <w:t>sura 5–7</w:t>
        </w:r>
      </w:hyperlink>
      <w:r>
        <w:rPr>
          <w:lang w:val="sw_KE" w:bidi="sw_KE"/>
        </w:rPr>
        <w:t>), ikiwa ni pamoja na wale mashariki mwa Mto Yordani (katika Transyordani). Katika sehemu ya kati ya orodha hizi za nasaba za ziada, inakuja Walawi (</w:t>
      </w:r>
      <w:hyperlink r:id="rId22">
        <w:r>
          <w:rPr>
            <w:lang w:val="sw_KE" w:bidi="sw_KE"/>
          </w:rPr>
          <w:rPr>
            <w:color w:val="0000EE"/>
            <w:u w:val="single"/>
          </w:rPr>
          <w:t>sura 6</w:t>
        </w:r>
      </w:hyperlink>
      <w:r>
        <w:rPr>
          <w:lang w:val="sw_KE" w:bidi="sw_KE"/>
        </w:rPr>
        <w:t>), kabila lenye umuhimu wa kati. Rekodi inaendelea na kabila la Benyamini (</w:t>
      </w:r>
      <w:hyperlink r:id="rId23">
        <w:r>
          <w:rPr>
            <w:lang w:val="sw_KE" w:bidi="sw_KE"/>
          </w:rPr>
          <w:rPr>
            <w:color w:val="0000EE"/>
            <w:u w:val="single"/>
          </w:rPr>
          <w:t>sura 8</w:t>
        </w:r>
      </w:hyperlink>
      <w:r>
        <w:rPr>
          <w:lang w:val="sw_KE" w:bidi="sw_KE"/>
        </w:rPr>
        <w:t>). Nasaba zinakamilishwa hadi karibu mwaka 400 Kabla ya Kristo (KK), na orodha ya wawakilishi wa jemadari wa jamii ambao walirudi kutoka uhamishoni na kuanza kurejesha Yerusalemu (</w:t>
      </w:r>
      <w:hyperlink r:id="rId24">
        <w:r>
          <w:rPr>
            <w:lang w:val="sw_KE" w:bidi="sw_KE"/>
          </w:rPr>
          <w:rPr>
            <w:color w:val="0000EE"/>
            <w:u w:val="single"/>
          </w:rPr>
          <w:t>sura 9</w:t>
        </w:r>
      </w:hyperlink>
      <w:r>
        <w:rPr>
          <w:lang w:val="sw_KE" w:bidi="sw_KE"/>
        </w:rPr>
        <w:t>).</w:t>
      </w:r>
    </w:p>
    <w:p>
      <w:pPr/>
      <w:r>
        <w:rPr>
          <w:lang w:val="sw_KE" w:bidi="sw_KE"/>
        </w:rPr>
      </w:r>
      <w:r>
        <w:rPr>
          <w:lang w:val="sw_KE" w:bidi="sw_KE"/>
        </w:rPr>
        <w:t>Nasaba ya Sauli (</w:t>
      </w:r>
      <w:hyperlink r:id="rId25">
        <w:r>
          <w:rPr>
            <w:lang w:val="sw_KE" w:bidi="sw_KE"/>
          </w:rPr>
          <w:rPr>
            <w:color w:val="0000EE"/>
            <w:u w:val="single"/>
          </w:rPr>
          <w:t>9:35–44</w:t>
        </w:r>
      </w:hyperlink>
      <w:r>
        <w:rPr>
          <w:lang w:val="sw_KE" w:bidi="sw_KE"/>
        </w:rPr>
        <w:t>) inatambulisha kuanzishwa kwa ufalme. Wakati Sauli alipokufa kwa sababu ya kutokuwa mwaminifu (</w:t>
      </w:r>
      <w:hyperlink r:id="rId26">
        <w:r>
          <w:rPr>
            <w:lang w:val="sw_KE" w:bidi="sw_KE"/>
          </w:rPr>
          <w:rPr>
            <w:color w:val="0000EE"/>
            <w:u w:val="single"/>
          </w:rPr>
          <w:t>10:1–14</w:t>
        </w:r>
      </w:hyperlink>
      <w:r>
        <w:rPr>
          <w:lang w:val="sw_KE" w:bidi="sw_KE"/>
        </w:rPr>
        <w:t>), Daudi alikuwa mfalme (</w:t>
      </w:r>
      <w:hyperlink r:id="rId27">
        <w:r>
          <w:rPr>
            <w:lang w:val="sw_KE" w:bidi="sw_KE"/>
          </w:rPr>
          <w:rPr>
            <w:color w:val="0000EE"/>
            <w:u w:val="single"/>
          </w:rPr>
          <w:t>11:1–12:40</w:t>
        </w:r>
      </w:hyperlink>
      <w:r>
        <w:rPr>
          <w:lang w:val="sw_KE" w:bidi="sw_KE"/>
        </w:rPr>
        <w:t>). Sura kuhusu utawala wa Daudi zinaeleza mpangilio wake wa maafisa na maandalizi yake kwa hekalu (</w:t>
      </w:r>
      <w:hyperlink r:id="rId28">
        <w:r>
          <w:rPr>
            <w:lang w:val="sw_KE" w:bidi="sw_KE"/>
          </w:rPr>
          <w:rPr>
            <w:color w:val="0000EE"/>
            <w:u w:val="single"/>
          </w:rPr>
          <w:t>sura 13–27</w:t>
        </w:r>
      </w:hyperlink>
      <w:r>
        <w:rPr>
          <w:lang w:val="sw_KE" w:bidi="sw_KE"/>
        </w:rPr>
        <w:t>). Uhamisho wa Sanduku la Agano kwenda Yerusalemu (</w:t>
      </w:r>
      <w:hyperlink r:id="rId29">
        <w:r>
          <w:rPr>
            <w:lang w:val="sw_KE" w:bidi="sw_KE"/>
          </w:rPr>
          <w:rPr>
            <w:color w:val="0000EE"/>
            <w:u w:val="single"/>
          </w:rPr>
          <w:t>sura 13–16</w:t>
        </w:r>
      </w:hyperlink>
      <w:r>
        <w:rPr>
          <w:lang w:val="sw_KE" w:bidi="sw_KE"/>
        </w:rPr>
        <w:t>) ulikuwa tukio muhimu katika kuanzishwa kwa ufalme wa Daudi. Sehemu iliyobaki ya 1 Mambo ya Nyakati inaeleza hatua zilizochukuliwa kuelekea ujenzi wa hekalu. Sura hizi zinajumuisha utambulisho wa mjenzi (sura</w:t>
      </w:r>
      <w:hyperlink r:id="rId30">
        <w:r>
          <w:rPr>
            <w:lang w:val="sw_KE" w:bidi="sw_KE"/>
          </w:rPr>
          <w:rPr>
            <w:color w:val="0000EE"/>
            <w:u w:val="single"/>
          </w:rPr>
          <w:t xml:space="preserve"> 17</w:t>
        </w:r>
      </w:hyperlink>
      <w:r>
        <w:rPr>
          <w:lang w:val="sw_KE" w:bidi="sw_KE"/>
        </w:rPr>
        <w:t>), hali za kisiasa zinazohitajika (</w:t>
      </w:r>
      <w:hyperlink r:id="rId31">
        <w:r>
          <w:rPr>
            <w:lang w:val="sw_KE" w:bidi="sw_KE"/>
          </w:rPr>
          <w:rPr>
            <w:color w:val="0000EE"/>
            <w:u w:val="single"/>
          </w:rPr>
          <w:t>sura 18–20</w:t>
        </w:r>
      </w:hyperlink>
      <w:r>
        <w:rPr>
          <w:lang w:val="sw_KE" w:bidi="sw_KE"/>
        </w:rPr>
        <w:t>), eneo (</w:t>
      </w:r>
      <w:hyperlink r:id="rId32">
        <w:r>
          <w:rPr>
            <w:lang w:val="sw_KE" w:bidi="sw_KE"/>
          </w:rPr>
          <w:rPr>
            <w:color w:val="0000EE"/>
            <w:u w:val="single"/>
          </w:rPr>
          <w:t>sura 21</w:t>
        </w:r>
      </w:hyperlink>
      <w:r>
        <w:rPr>
          <w:lang w:val="sw_KE" w:bidi="sw_KE"/>
        </w:rPr>
        <w:t>), wafanyakazi (</w:t>
      </w:r>
      <w:hyperlink r:id="rId33">
        <w:r>
          <w:rPr>
            <w:lang w:val="sw_KE" w:bidi="sw_KE"/>
          </w:rPr>
          <w:rPr>
            <w:color w:val="0000EE"/>
            <w:u w:val="single"/>
          </w:rPr>
          <w:t>sura 23–27</w:t>
        </w:r>
      </w:hyperlink>
      <w:r>
        <w:rPr>
          <w:lang w:val="sw_KE" w:bidi="sw_KE"/>
        </w:rPr>
        <w:t xml:space="preserve">), vifaa, na mipango (sura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28–29</w:t>
        </w:r>
      </w:hyperlink>
      <w:r>
        <w:rPr>
          <w:lang w:val="sw_KE" w:bidi="sw_KE"/>
        </w:rPr>
        <w:t>). Hadithi ya utawala wa Daudi inahitimishwa na mkutano mkubwa wa umma na kuagizwa kwa Solomoni kama mfalme wa Amani ambaye angejenga hekalu (</w:t>
      </w:r>
      <w:hyperlink r:id="rId35">
        <w:r>
          <w:rPr>
            <w:lang w:val="sw_KE" w:bidi="sw_KE"/>
          </w:rPr>
          <w:rPr>
            <w:color w:val="0000EE"/>
            <w:u w:val="single"/>
          </w:rPr>
          <w:t>sura 28–29</w:t>
        </w:r>
      </w:hyperlink>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hyperlink r:id="rId36">
        <w:r>
          <w:rPr>
            <w:lang w:val="sw_KE" w:bidi="sw_KE"/>
          </w:rPr>
          <w:rPr>
            <w:color w:val="0000EE"/>
            <w:u w:val="single"/>
          </w:rPr>
          <w:t>3:17–24</w:t>
        </w:r>
      </w:hyperlink>
      <w:r>
        <w:rPr>
          <w:lang w:val="sw_KE" w:bidi="sw_KE"/>
        </w:rPr>
        <w:t>) unapendekeza tarehe ambayo ni vizazi nane baada ya Zerubabeli, ambaye alihudumu kama gavana karibu na mwaka 520 KK, wakati wa utawala wa Dario, mfalme wa Uajemi (</w:t>
      </w:r>
      <w:hyperlink r:id="rId37">
        <w:r>
          <w:rPr>
            <w:lang w:val="sw_KE" w:bidi="sw_KE"/>
          </w:rPr>
          <w:rPr>
            <w:color w:val="0000EE"/>
            <w:u w:val="single"/>
          </w:rPr>
          <w:t>Zek 1:1</w:t>
        </w:r>
      </w:hyperlink>
      <w:r>
        <w:rPr>
          <w:lang w:val="sw_KE" w:bidi="sw_KE"/>
        </w:rPr>
        <w:t xml:space="preserve">; </w:t>
      </w:r>
      <w:hyperlink r:id="rId38">
        <w:r>
          <w:rPr>
            <w:lang w:val="sw_KE" w:bidi="sw_KE"/>
          </w:rPr>
          <w:rPr>
            <w:color w:val="0000EE"/>
            <w:u w:val="single"/>
          </w:rPr>
          <w:t>4:9</w:t>
        </w:r>
      </w:hyperlink>
      <w:r>
        <w:rPr>
          <w:lang w:val="sw_KE" w:bidi="sw_KE"/>
        </w:rPr>
        <w:t>). Mwandishi wa Mambo ya Nyakati pengine aliandika muda fulani baada ya Nehemia kusafiri kwenda Yerusalemu katika mwaka wa ishirini wa Artashasta (445 KK) kurekebisha kuta za mji (</w:t>
      </w:r>
      <w:hyperlink r:id="rId39">
        <w:r>
          <w:rPr>
            <w:lang w:val="sw_KE" w:bidi="sw_KE"/>
          </w:rPr>
          <w:rPr>
            <w:color w:val="0000EE"/>
            <w:u w:val="single"/>
          </w:rPr>
          <w:t>Neh 2:1</w:t>
        </w:r>
      </w:hyperlink>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hyperlink r:id="rId40">
        <w:r>
          <w:rPr>
            <w:lang w:val="sw_KE" w:bidi="sw_KE"/>
          </w:rPr>
          <w:rPr>
            <w:color w:val="0000EE"/>
            <w:u w:val="single"/>
          </w:rPr>
          <w:t>Mal 2:14–16</w:t>
        </w:r>
      </w:hyperlink>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hyperlink r:id="rId30">
        <w:r>
          <w:rPr>
            <w:lang w:val="sw_KE" w:bidi="sw_KE"/>
          </w:rPr>
          <w:rPr>
            <w:color w:val="0000EE"/>
            <w:u w:val="single"/>
          </w:rPr>
          <w:t>17:1–27</w:t>
        </w:r>
      </w:hyperlink>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1">
        <w:r>
          <w:rPr>
            <w:lang w:val="sw_KE" w:bidi="sw_KE"/>
          </w:rPr>
          <w:rPr>
            <w:color w:val="0000EE"/>
            <w:u w:val="single"/>
          </w:rPr>
          <w:t>2 Sam 7:11–14</w:t>
        </w:r>
      </w:hyperlink>
      <w:r>
        <w:rPr>
          <w:i/>
          <w:lang w:val="sw_KE" w:bidi="sw_KE"/>
        </w:rPr>
        <w:t>//</w:t>
      </w:r>
      <w:hyperlink r:id="rId42">
        <w:r>
          <w:rPr>
            <w:lang w:val="sw_KE" w:bidi="sw_KE"/>
          </w:rPr>
          <w:rPr>
            <w:color w:val="0000EE"/>
            <w:u w:val="single"/>
          </w:rPr>
          <w:t>1 Nya 17:10–14</w:t>
        </w:r>
      </w:hyperlink>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3">
        <w:r>
          <w:rPr>
            <w:lang w:val="sw_KE" w:bidi="sw_KE"/>
          </w:rPr>
          <w:rPr>
            <w:color w:val="0000EE"/>
            <w:u w:val="single"/>
          </w:rPr>
          <w:t>10:13</w:t>
        </w:r>
      </w:hyperlink>
      <w:r>
        <w:rPr>
          <w:lang w:val="sw_KE" w:bidi="sw_KE"/>
        </w:rPr>
        <w:t xml:space="preserve">). Wafalme wa baadaye walirudia makosa ya Sauli: Waliasi agano la Mungu na walitafuta usalama kutoka kwa nguvu za kigeni na miungu ya kipagani badala ya kutoka kwa Mwamba wao, Bwana (tazama </w:t>
      </w:r>
      <w:hyperlink r:id="rId44">
        <w:r>
          <w:rPr>
            <w:lang w:val="sw_KE" w:bidi="sw_KE"/>
          </w:rPr>
          <w:rPr>
            <w:color w:val="0000EE"/>
            <w:u w:val="single"/>
          </w:rPr>
          <w:t>Kumb 32:4</w:t>
        </w:r>
      </w:hyperlink>
      <w:r>
        <w:rPr>
          <w:lang w:val="sw_KE" w:bidi="sw_KE"/>
        </w:rPr>
        <w:t xml:space="preserve">, </w:t>
      </w:r>
      <w:hyperlink r:id="rId45">
        <w:r>
          <w:rPr>
            <w:lang w:val="sw_KE" w:bidi="sw_KE"/>
          </w:rPr>
          <w:rPr>
            <w:color w:val="0000EE"/>
            <w:u w:val="single"/>
          </w:rPr>
          <w:t>15–39</w:t>
        </w:r>
      </w:hyperlink>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6">
        <w:r>
          <w:rPr>
            <w:lang w:val="sw_KE" w:bidi="sw_KE"/>
          </w:rPr>
          <w:rPr>
            <w:color w:val="0000EE"/>
            <w:u w:val="single"/>
          </w:rPr>
          <w:t>2 Mambo ya Nyakati 7:14</w:t>
        </w:r>
      </w:hyperlink>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7">
        <w:r>
          <w:rPr>
            <w:lang w:val="sw_KE" w:bidi="sw_KE"/>
          </w:rPr>
          <w:rPr>
            <w:color w:val="0000EE"/>
            <w:u w:val="single"/>
          </w:rPr>
          <w:t>1 Nyak 9:3</w:t>
        </w:r>
      </w:hyperlink>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