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hyperlink r:id="rId13">
        <w:r>
          <w:rPr>
            <w:lang w:val="zh_TW" w:bidi="zh_TW"/>
          </w:rPr>
          <w:rPr>
            <w:color w:val="0000EE"/>
            <w:u w:val="single"/>
          </w:rPr>
          <w:t>1:1–2:5</w:t>
        </w:r>
      </w:hyperlink>
      <w:r>
        <w:rPr>
          <w:lang w:val="zh_TW" w:bidi="zh_TW"/>
        </w:rPr>
        <w:t>和</w:t>
      </w:r>
      <w:hyperlink r:id="rId14">
        <w:r>
          <w:rPr>
            <w:lang w:val="zh_TW" w:bidi="zh_TW"/>
          </w:rPr>
          <w:rPr>
            <w:color w:val="0000EE"/>
            <w:u w:val="single"/>
          </w:rPr>
          <w:t>2:6–3:6</w:t>
        </w:r>
      </w:hyperlink>
      <w:r>
        <w:rPr>
          <w:lang w:val="zh_TW" w:bidi="zh_TW"/>
        </w:rPr>
        <w:t>）解釋了以色列各支派未能完全佔領其分配的土地，因為他們選擇妥協並接受迦南的文化與宗教習俗，而不是遵守神透過摩西所賜的約。其次，在書卷的結尾（</w:t>
      </w:r>
      <w:hyperlink r:id="rId15">
        <w:r>
          <w:rPr>
            <w:lang w:val="zh_TW" w:bidi="zh_TW"/>
          </w:rPr>
          <w:rPr>
            <w:color w:val="0000EE"/>
            <w:u w:val="single"/>
          </w:rPr>
          <w:t>17–21</w:t>
        </w:r>
      </w:hyperlink>
      <w:r>
        <w:rPr>
          <w:lang w:val="zh_TW" w:bidi="zh_TW"/>
        </w:rPr>
        <w:t>章），一個更大的問題浮現，並在反覆出現的句子強調：「那時以色列中沒有王，各人任意而行」（</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hyperlink r:id="rId20">
        <w:r>
          <w:rPr>
            <w:lang w:val="zh_TW" w:bidi="zh_TW"/>
          </w:rPr>
          <w:rPr>
            <w:color w:val="0000EE"/>
            <w:u w:val="single"/>
          </w:rPr>
          <w:t>2:16–19</w:t>
        </w:r>
      </w:hyperlink>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hyperlink r:id="rId21">
        <w:r>
          <w:rPr>
            <w:lang w:val="zh_TW" w:bidi="zh_TW"/>
          </w:rPr>
          <w:rPr>
            <w:color w:val="0000EE"/>
            <w:u w:val="single"/>
          </w:rPr>
          <w:t>約書亞記二十四章28至31節</w:t>
        </w:r>
      </w:hyperlink>
      <w:r>
        <w:rPr>
          <w:lang w:val="zh_TW" w:bidi="zh_TW"/>
        </w:rPr>
        <w:t>的敘述。第一個序言（</w:t>
      </w:r>
      <w:hyperlink r:id="rId13">
        <w:r>
          <w:rPr>
            <w:lang w:val="zh_TW" w:bidi="zh_TW"/>
          </w:rPr>
          <w:rPr>
            <w:color w:val="0000EE"/>
            <w:u w:val="single"/>
          </w:rPr>
          <w:t>士1:1–2:5</w:t>
        </w:r>
      </w:hyperlink>
      <w:r>
        <w:rPr>
          <w:lang w:val="zh_TW" w:bidi="zh_TW"/>
        </w:rPr>
        <w:t>）回顧各支派的失敗，他們未能完全遵守神的約，滿足於佔領部分應許之地，這顯示他們忽視了神的應許，結果導致神收回對他們的保護（</w:t>
      </w:r>
      <w:hyperlink r:id="rId22">
        <w:r>
          <w:rPr>
            <w:lang w:val="zh_TW" w:bidi="zh_TW"/>
          </w:rPr>
          <w:rPr>
            <w:color w:val="0000EE"/>
            <w:u w:val="single"/>
          </w:rPr>
          <w:t>2:1–3</w:t>
        </w:r>
      </w:hyperlink>
      <w:r>
        <w:rPr>
          <w:lang w:val="zh_TW" w:bidi="zh_TW"/>
        </w:rPr>
        <w:t>）。</w:t>
      </w:r>
    </w:p>
    <w:p>
      <w:pPr/>
      <w:r>
        <w:rPr>
          <w:lang w:val="zh_TW" w:bidi="zh_TW"/>
        </w:rPr>
      </w:r>
      <w:r>
        <w:rPr>
          <w:lang w:val="zh_TW" w:bidi="zh_TW"/>
        </w:rPr>
        <w:t>第二個序言（</w:t>
      </w:r>
      <w:hyperlink r:id="rId14">
        <w:r>
          <w:rPr>
            <w:lang w:val="zh_TW" w:bidi="zh_TW"/>
          </w:rPr>
          <w:rPr>
            <w:color w:val="0000EE"/>
            <w:u w:val="single"/>
          </w:rPr>
          <w:t>2:6–3:6</w:t>
        </w:r>
      </w:hyperlink>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3">
        <w:r>
          <w:rPr>
            <w:lang w:val="zh_TW" w:bidi="zh_TW"/>
          </w:rPr>
          <w:rPr>
            <w:color w:val="0000EE"/>
            <w:u w:val="single"/>
          </w:rPr>
          <w:t>2:10</w:t>
        </w:r>
      </w:hyperlink>
      <w:r>
        <w:rPr>
          <w:lang w:val="zh_TW" w:bidi="zh_TW"/>
        </w:rPr>
        <w:t>）。接著，敘述進入本書的核心內容，即神興起的士師，他們的職責是拯救以色列人，並呼召他們回到對神之約的順服（</w:t>
      </w:r>
      <w:hyperlink r:id="rId24">
        <w:r>
          <w:rPr>
            <w:lang w:val="zh_TW" w:bidi="zh_TW"/>
          </w:rPr>
          <w:rPr>
            <w:color w:val="0000EE"/>
            <w:u w:val="single"/>
          </w:rPr>
          <w:t>2:16</w:t>
        </w:r>
      </w:hyperlink>
      <w:r>
        <w:rPr>
          <w:lang w:val="zh_TW" w:bidi="zh_TW"/>
        </w:rPr>
        <w:t>），其順服的證據便是忠實持守應許之地。</w:t>
      </w:r>
      <w:hyperlink r:id="rId25">
        <w:r>
          <w:rPr>
            <w:lang w:val="zh_TW" w:bidi="zh_TW"/>
          </w:rPr>
          <w:rPr>
            <w:color w:val="0000EE"/>
            <w:u w:val="single"/>
          </w:rPr>
          <w:t>士師記三章1至6節</w:t>
        </w:r>
      </w:hyperlink>
      <w:r>
        <w:rPr>
          <w:lang w:val="zh_TW" w:bidi="zh_TW"/>
        </w:rPr>
        <w:t>（如同前面的序言結束部分）已經預示這項努力最終將以失敗告終。</w:t>
      </w:r>
    </w:p>
    <w:p>
      <w:pPr/>
      <w:r>
        <w:rPr>
          <w:lang w:val="zh_TW" w:bidi="zh_TW"/>
        </w:rPr>
      </w:r>
      <w:r>
        <w:rPr>
          <w:lang w:val="zh_TW" w:bidi="zh_TW"/>
        </w:rPr>
        <w:t>士師記的核心部分（</w:t>
      </w:r>
      <w:hyperlink r:id="rId26">
        <w:r>
          <w:rPr>
            <w:lang w:val="zh_TW" w:bidi="zh_TW"/>
          </w:rPr>
          <w:rPr>
            <w:color w:val="0000EE"/>
            <w:u w:val="single"/>
          </w:rPr>
          <w:t>3:7–16:31</w:t>
        </w:r>
      </w:hyperlink>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7">
        <w:r>
          <w:rPr>
            <w:lang w:val="zh_TW" w:bidi="zh_TW"/>
          </w:rPr>
          <w:rPr>
            <w:color w:val="0000EE"/>
            <w:u w:val="single"/>
          </w:rPr>
          <w:t>9</w:t>
        </w:r>
      </w:hyperlink>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hyperlink r:id="rId28">
        <w:r>
          <w:rPr>
            <w:lang w:val="zh_TW" w:bidi="zh_TW"/>
          </w:rPr>
          <w:rPr>
            <w:color w:val="0000EE"/>
            <w:u w:val="single"/>
          </w:rPr>
          <w:t>17–18</w:t>
        </w:r>
      </w:hyperlink>
      <w:r>
        <w:rPr>
          <w:lang w:val="zh_TW" w:bidi="zh_TW"/>
        </w:rPr>
        <w:t>，</w:t>
      </w:r>
      <w:hyperlink r:id="rId29">
        <w:r>
          <w:rPr>
            <w:lang w:val="zh_TW" w:bidi="zh_TW"/>
          </w:rPr>
          <w:rPr>
            <w:color w:val="0000EE"/>
            <w:u w:val="single"/>
          </w:rPr>
          <w:t>19–21</w:t>
        </w:r>
      </w:hyperlink>
      <w:r>
        <w:rPr>
          <w:lang w:val="zh_TW" w:bidi="zh_TW"/>
        </w:rPr>
        <w:t>章）中達到高潮，這些結語突顯士師時代的歷史與神學教育失敗，並導致嚴重的靈性與社會混亂。這些段落以一句概括語句作結：「那時以色列中沒有王」，並且兩次補充說：「各人任意而行」（見</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hyperlink r:id="rId30">
        <w:r>
          <w:rPr>
            <w:lang w:val="zh_TW" w:bidi="zh_TW"/>
          </w:rPr>
          <w:rPr>
            <w:color w:val="0000EE"/>
            <w:u w:val="single"/>
          </w:rPr>
          <w:t>王下25:27–30</w:t>
        </w:r>
      </w:hyperlink>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1">
        <w:r>
          <w:rPr>
            <w:lang w:val="zh_TW" w:bidi="zh_TW"/>
          </w:rPr>
          <w:rPr>
            <w:color w:val="0000EE"/>
            <w:u w:val="single"/>
          </w:rPr>
          <w:t>士師記十一章26節</w:t>
        </w:r>
      </w:hyperlink>
      <w:r>
        <w:rPr>
          <w:lang w:val="zh_TW" w:bidi="zh_TW"/>
        </w:rPr>
        <w:t>和</w:t>
      </w:r>
      <w:hyperlink r:id="rId32">
        <w:r>
          <w:rPr>
            <w:lang w:val="zh_TW" w:bidi="zh_TW"/>
          </w:rPr>
          <w:rPr>
            <w:color w:val="0000EE"/>
            <w:u w:val="single"/>
          </w:rPr>
          <w:t>列王紀上六章1節</w:t>
        </w:r>
      </w:hyperlink>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hyperlink r:id="rId33">
        <w:r>
          <w:rPr>
            <w:lang w:val="zh_TW" w:bidi="zh_TW"/>
          </w:rPr>
          <w:rPr>
            <w:color w:val="0000EE"/>
            <w:u w:val="single"/>
          </w:rPr>
          <w:t>士師記十章7節</w:t>
        </w:r>
      </w:hyperlink>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hyperlink r:id="rId34">
        <w:r>
          <w:rPr>
            <w:lang w:val="zh_TW" w:bidi="zh_TW"/>
          </w:rPr>
          <w:rPr>
            <w:color w:val="0000EE"/>
            <w:u w:val="single"/>
          </w:rPr>
          <w:t>3:31</w:t>
        </w:r>
      </w:hyperlink>
      <w:r>
        <w:rPr>
          <w:lang w:val="zh_TW" w:bidi="zh_TW"/>
        </w:rPr>
        <w:t>），而底波拉在「以笏死後」出現（</w:t>
      </w:r>
      <w:hyperlink r:id="rId35">
        <w:r>
          <w:rPr>
            <w:lang w:val="zh_TW" w:bidi="zh_TW"/>
          </w:rPr>
          <w:rPr>
            <w:color w:val="0000EE"/>
            <w:u w:val="single"/>
          </w:rPr>
          <w:t>4:1，</w:t>
        </w:r>
      </w:hyperlink>
      <w:r>
        <w:rPr>
          <w:lang w:val="zh_TW" w:bidi="zh_TW"/>
        </w:rPr>
        <w:t>另見</w:t>
      </w:r>
      <w:hyperlink r:id="rId36">
        <w:r>
          <w:rPr>
            <w:lang w:val="zh_TW" w:bidi="zh_TW"/>
          </w:rPr>
          <w:rPr>
            <w:color w:val="0000EE"/>
            <w:u w:val="single"/>
          </w:rPr>
          <w:t>5:6</w:t>
        </w:r>
      </w:hyperlink>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7">
        <w:r>
          <w:rPr>
            <w:lang w:val="zh_TW" w:bidi="zh_TW"/>
          </w:rPr>
          <w:rPr>
            <w:color w:val="0000EE"/>
            <w:u w:val="single"/>
          </w:rPr>
          <w:t>撒下7:1–29</w:t>
        </w:r>
      </w:hyperlink>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