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hyperlink r:id="rId13">
        <w:r>
          <w:rPr>
            <w:lang w:val="fr_FR" w:bidi="fr_FR"/>
          </w:rPr>
          <w:rPr>
            <w:color w:val="0000EE"/>
            <w:u w:val="single"/>
          </w:rPr>
          <w:t>1.1</w:t>
        </w:r>
      </w:hyperlink>
      <w:r>
        <w:rPr>
          <w:lang w:val="fr_FR" w:bidi="fr_FR"/>
        </w:rPr>
        <w:t>) et un épilogue et une conclusion (</w:t>
      </w:r>
      <w:hyperlink r:id="rId14">
        <w:r>
          <w:rPr>
            <w:lang w:val="fr_FR" w:bidi="fr_FR"/>
          </w:rPr>
          <w:rPr>
            <w:color w:val="0000EE"/>
            <w:u w:val="single"/>
          </w:rPr>
          <w:t>12.9–14</w:t>
        </w:r>
      </w:hyperlink>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5">
        <w:r>
          <w:rPr>
            <w:lang w:val="fr_FR" w:bidi="fr_FR"/>
          </w:rPr>
          <w:rPr>
            <w:color w:val="0000EE"/>
            <w:u w:val="single"/>
          </w:rPr>
          <w:t>12.13–14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hyperlink r:id="rId13">
        <w:r>
          <w:rPr>
            <w:lang w:val="fr_FR" w:bidi="fr_FR"/>
          </w:rPr>
          <w:rPr>
            <w:color w:val="0000EE"/>
            <w:u w:val="single"/>
          </w:rPr>
          <w:t>1.1</w:t>
        </w:r>
      </w:hyperlink>
      <w:r>
        <w:rPr>
          <w:lang w:val="fr_FR" w:bidi="fr_FR"/>
        </w:rPr>
        <w:t xml:space="preserve">, </w:t>
      </w:r>
      <w:hyperlink r:id="rId16">
        <w:r>
          <w:rPr>
            <w:lang w:val="fr_FR" w:bidi="fr_FR"/>
          </w:rPr>
          <w:rPr>
            <w:color w:val="0000EE"/>
            <w:u w:val="single"/>
          </w:rPr>
          <w:t>1.12</w:t>
        </w:r>
      </w:hyperlink>
      <w:r>
        <w:rPr>
          <w:lang w:val="fr_FR" w:bidi="fr_FR"/>
        </w:rPr>
        <w:t xml:space="preserve">, </w:t>
      </w:r>
      <w:hyperlink r:id="rId17">
        <w:r>
          <w:rPr>
            <w:lang w:val="fr_FR" w:bidi="fr_FR"/>
          </w:rPr>
          <w:rPr>
            <w:color w:val="0000EE"/>
            <w:u w:val="single"/>
          </w:rPr>
          <w:t xml:space="preserve">1.16 </w:t>
        </w:r>
      </w:hyperlink>
      <w:r>
        <w:rPr>
          <w:lang w:val="fr_FR" w:bidi="fr_FR"/>
        </w:rPr>
        <w:t xml:space="preserve">; </w:t>
      </w:r>
      <w:hyperlink r:id="rId18">
        <w:r>
          <w:rPr>
            <w:lang w:val="fr_FR" w:bidi="fr_FR"/>
          </w:rPr>
          <w:rPr>
            <w:color w:val="0000EE"/>
            <w:u w:val="single"/>
          </w:rPr>
          <w:t>2.7</w:t>
        </w:r>
      </w:hyperlink>
      <w:r>
        <w:rPr>
          <w:lang w:val="fr_FR" w:bidi="fr_FR"/>
        </w:rPr>
        <w:t xml:space="preserve">, </w:t>
      </w:r>
      <w:hyperlink r:id="rId19">
        <w:r>
          <w:rPr>
            <w:lang w:val="fr_FR" w:bidi="fr_FR"/>
          </w:rPr>
          <w:rPr>
            <w:color w:val="0000EE"/>
            <w:u w:val="single"/>
          </w:rPr>
          <w:t>2.9</w:t>
        </w:r>
      </w:hyperlink>
      <w:r>
        <w:rPr>
          <w:lang w:val="fr_FR" w:bidi="fr_FR"/>
        </w:rPr>
        <w:t>) ; ce qui renvoie très clairement à Salomon. Son discours est introduit et conclu par un éditeur (</w:t>
      </w:r>
      <w:hyperlink r:id="rId13">
        <w:r>
          <w:rPr>
            <w:lang w:val="fr_FR" w:bidi="fr_FR"/>
          </w:rPr>
          <w:rPr>
            <w:color w:val="0000EE"/>
            <w:u w:val="single"/>
          </w:rPr>
          <w:t xml:space="preserve">1.1 </w:t>
        </w:r>
      </w:hyperlink>
      <w:r>
        <w:rPr>
          <w:lang w:val="fr_FR" w:bidi="fr_FR"/>
        </w:rPr>
        <w:t xml:space="preserve">; </w:t>
      </w:r>
      <w:hyperlink r:id="rId14">
        <w:r>
          <w:rPr>
            <w:lang w:val="fr_FR" w:bidi="fr_FR"/>
          </w:rPr>
          <w:rPr>
            <w:color w:val="0000EE"/>
            <w:u w:val="single"/>
          </w:rPr>
          <w:t>12.9–14</w:t>
        </w:r>
      </w:hyperlink>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hyperlink r:id="rId20">
        <w:r>
          <w:rPr>
            <w:lang w:val="fr_FR" w:bidi="fr_FR"/>
          </w:rPr>
          <w:rPr>
            <w:color w:val="0000EE"/>
            <w:u w:val="single"/>
          </w:rPr>
          <w:t>2Ch 5.2–7.7</w:t>
        </w:r>
      </w:hyperlink>
      <w:r>
        <w:rPr>
          <w:lang w:val="fr_FR" w:bidi="fr_FR"/>
        </w:rPr>
        <w:t>). De plus, de nombreux rois et diplomates venaient écouter sa sagesse (</w:t>
      </w:r>
      <w:hyperlink r:id="rId21">
        <w:r>
          <w:rPr>
            <w:lang w:val="fr_FR" w:bidi="fr_FR"/>
          </w:rPr>
          <w:rPr>
            <w:color w:val="0000EE"/>
            <w:u w:val="single"/>
          </w:rPr>
          <w:t>1R 4.34</w:t>
        </w:r>
      </w:hyperlink>
      <w:r>
        <w:rPr>
          <w:lang w:val="fr_FR" w:bidi="fr_FR"/>
        </w:rPr>
        <w:t xml:space="preserve"> ; </w:t>
      </w:r>
      <w:hyperlink r:id="rId22">
        <w:r>
          <w:rPr>
            <w:lang w:val="fr_FR" w:bidi="fr_FR"/>
          </w:rPr>
          <w:rPr>
            <w:color w:val="0000EE"/>
            <w:u w:val="single"/>
          </w:rPr>
          <w:t>10.23–24</w:t>
        </w:r>
      </w:hyperlink>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5">
        <w:r>
          <w:rPr>
            <w:lang w:val="fr_FR" w:bidi="fr_FR"/>
          </w:rPr>
          <w:rPr>
            <w:color w:val="0000EE"/>
            <w:u w:val="single"/>
          </w:rPr>
          <w:t>12.13–14</w:t>
        </w:r>
      </w:hyperlink>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