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hyperlink r:id="rId13">
        <w:r>
          <w:rPr>
            <w:lang w:val="fr_FR" w:bidi="fr_FR"/>
          </w:rPr>
          <w:rPr>
            <w:color w:val="0000EE"/>
            <w:u w:val="single"/>
          </w:rPr>
          <w:t>10:34</w:t>
        </w:r>
      </w:hyperlink>
      <w:r>
        <w:rPr>
          <w:lang w:val="fr_FR" w:bidi="fr_FR"/>
        </w:rPr>
        <w:t>). Christ est le seul Sauveur (</w:t>
      </w:r>
      <w:hyperlink r:id="rId14">
        <w:r>
          <w:rPr>
            <w:lang w:val="fr_FR" w:bidi="fr_FR"/>
          </w:rPr>
          <w:rPr>
            <w:color w:val="0000EE"/>
            <w:u w:val="single"/>
          </w:rPr>
          <w:t>4:12</w:t>
        </w:r>
      </w:hyperlink>
      <w:r>
        <w:rPr>
          <w:lang w:val="fr_FR" w:bidi="fr_FR"/>
        </w:rPr>
        <w:t xml:space="preserve">) et tous peuvent croire en lui pour leur salut et pour recevoir une nouvelle vie (voir </w:t>
      </w:r>
      <w:hyperlink r:id="rId15">
        <w:r>
          <w:rPr>
            <w:lang w:val="fr_FR" w:bidi="fr_FR"/>
          </w:rPr>
          <w:rPr>
            <w:color w:val="0000EE"/>
            <w:u w:val="single"/>
          </w:rPr>
          <w:t>16:30–31</w:t>
        </w:r>
      </w:hyperlink>
      <w:r>
        <w:rPr>
          <w:lang w:val="fr_FR" w:bidi="fr_FR"/>
        </w:rPr>
        <w:t xml:space="preserve">). Malgré la tendance des chrétiens d’origine juive à garder la grâce de Dieu pour eux-mêmes, l’Eglise est parvenue à la conclusion unanime que les non-juifs sont pleinement inclus dans les promesses de Dieu (voir </w:t>
      </w:r>
      <w:hyperlink r:id="rId16">
        <w:r>
          <w:rPr>
            <w:lang w:val="fr_FR" w:bidi="fr_FR"/>
          </w:rPr>
          <w:rPr>
            <w:color w:val="0000EE"/>
            <w:u w:val="single"/>
          </w:rPr>
          <w:t>15:1–31</w:t>
        </w:r>
      </w:hyperlink>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hyperlink r:id="rId17">
        <w:r>
          <w:rPr>
            <w:lang w:val="fr_FR" w:bidi="fr_FR"/>
          </w:rPr>
          <w:rPr>
            <w:color w:val="0000EE"/>
            <w:u w:val="single"/>
          </w:rPr>
          <w:t>Matthieu 28:18–20</w:t>
        </w:r>
      </w:hyperlink>
      <w:r>
        <w:rPr>
          <w:lang w:val="fr_FR" w:bidi="fr_FR"/>
        </w:rPr>
        <w:t>). Les Actes mettent particulièrement en avant le ministère de Pierre (</w:t>
      </w:r>
      <w:hyperlink r:id="rId18">
        <w:r>
          <w:rPr>
            <w:lang w:val="fr_FR" w:bidi="fr_FR"/>
          </w:rPr>
          <w:rPr>
            <w:color w:val="0000EE"/>
            <w:u w:val="single"/>
          </w:rPr>
          <w:t>Actes 1:1–12:25</w:t>
        </w:r>
      </w:hyperlink>
      <w:r>
        <w:rPr>
          <w:lang w:val="fr_FR" w:bidi="fr_FR"/>
        </w:rPr>
        <w:t>) et de Paul (</w:t>
      </w:r>
      <w:hyperlink r:id="rId19">
        <w:r>
          <w:rPr>
            <w:lang w:val="fr_FR" w:bidi="fr_FR"/>
          </w:rPr>
          <w:rPr>
            <w:color w:val="0000EE"/>
            <w:u w:val="single"/>
          </w:rPr>
          <w:t>13:1–28:31</w:t>
        </w:r>
      </w:hyperlink>
      <w:r>
        <w:rPr>
          <w:lang w:val="fr_FR" w:bidi="fr_FR"/>
        </w:rPr>
        <w:t>).</w:t>
      </w:r>
    </w:p>
    <w:p>
      <w:pPr/>
      <w:r>
        <w:rPr>
          <w:lang w:val="fr_FR" w:bidi="fr_FR"/>
        </w:rPr>
      </w:r>
      <w:r>
        <w:rPr>
          <w:lang w:val="fr_FR" w:bidi="fr_FR"/>
        </w:rPr>
        <w:t xml:space="preserve">Le récit des Actes suit un plan géographique, fondé sur </w:t>
      </w:r>
      <w:hyperlink r:id="rId20">
        <w:r>
          <w:rPr>
            <w:lang w:val="fr_FR" w:bidi="fr_FR"/>
          </w:rPr>
          <w:rPr>
            <w:color w:val="0000EE"/>
            <w:u w:val="single"/>
          </w:rPr>
          <w:t>1:8</w:t>
        </w:r>
      </w:hyperlink>
      <w:r>
        <w:rPr>
          <w:lang w:val="fr_FR" w:bidi="fr_FR"/>
        </w:rPr>
        <w:t>: le message chrétien et la communauté de croyants se sont diffusés à Jérusalem (</w:t>
      </w:r>
      <w:hyperlink r:id="rId21">
        <w:r>
          <w:rPr>
            <w:lang w:val="fr_FR" w:bidi="fr_FR"/>
          </w:rPr>
          <w:rPr>
            <w:color w:val="0000EE"/>
            <w:u w:val="single"/>
          </w:rPr>
          <w:t>1:1–8:3</w:t>
        </w:r>
      </w:hyperlink>
      <w:r>
        <w:rPr>
          <w:lang w:val="fr_FR" w:bidi="fr_FR"/>
        </w:rPr>
        <w:t>), en Palestine et en Syrie (</w:t>
      </w:r>
      <w:hyperlink r:id="rId22">
        <w:r>
          <w:rPr>
            <w:lang w:val="fr_FR" w:bidi="fr_FR"/>
          </w:rPr>
          <w:rPr>
            <w:color w:val="0000EE"/>
            <w:u w:val="single"/>
          </w:rPr>
          <w:t>8:4–12:25</w:t>
        </w:r>
      </w:hyperlink>
      <w:r>
        <w:rPr>
          <w:lang w:val="fr_FR" w:bidi="fr_FR"/>
        </w:rPr>
        <w:t>), et dans le monde non-juif, à travers l’Empire romain (</w:t>
      </w:r>
      <w:hyperlink r:id="rId19">
        <w:r>
          <w:rPr>
            <w:lang w:val="fr_FR" w:bidi="fr_FR"/>
          </w:rPr>
          <w:rPr>
            <w:color w:val="0000EE"/>
            <w:u w:val="single"/>
          </w:rPr>
          <w:t>13:1–28:31</w:t>
        </w:r>
      </w:hyperlink>
      <w:r>
        <w:rPr>
          <w:lang w:val="fr_FR" w:bidi="fr_FR"/>
        </w:rPr>
        <w:t xml:space="preserve">). Le mot final du texte grec des Actes (akôluthôs, « sans obstacle », </w:t>
      </w:r>
      <w:hyperlink r:id="rId23">
        <w:r>
          <w:rPr>
            <w:lang w:val="fr_FR" w:bidi="fr_FR"/>
          </w:rPr>
          <w:rPr>
            <w:color w:val="0000EE"/>
            <w:u w:val="single"/>
          </w:rPr>
          <w:t>28:31</w:t>
        </w:r>
      </w:hyperlink>
      <w:r>
        <w:rPr>
          <w:lang w:val="fr_FR" w:bidi="fr_FR"/>
        </w:rPr>
        <w:t>) évoque l’annonce sans obstacle de l’Evangile aux Juifs (</w:t>
      </w:r>
      <w:hyperlink r:id="rId24">
        <w:r>
          <w:rPr>
            <w:lang w:val="fr_FR" w:bidi="fr_FR"/>
          </w:rPr>
          <w:rPr>
            <w:color w:val="0000EE"/>
            <w:u w:val="single"/>
          </w:rPr>
          <w:t>3:1–5:42</w:t>
        </w:r>
      </w:hyperlink>
      <w:r>
        <w:rPr>
          <w:lang w:val="fr_FR" w:bidi="fr_FR"/>
        </w:rPr>
        <w:t>), aux Samaritains (</w:t>
      </w:r>
      <w:hyperlink r:id="rId25">
        <w:r>
          <w:rPr>
            <w:lang w:val="fr_FR" w:bidi="fr_FR"/>
          </w:rPr>
          <w:rPr>
            <w:color w:val="0000EE"/>
            <w:u w:val="single"/>
          </w:rPr>
          <w:t>6:1–8:40</w:t>
        </w:r>
      </w:hyperlink>
      <w:r>
        <w:rPr>
          <w:lang w:val="fr_FR" w:bidi="fr_FR"/>
        </w:rPr>
        <w:t>), aux « craignant Dieu » (</w:t>
      </w:r>
      <w:hyperlink r:id="rId26">
        <w:r>
          <w:rPr>
            <w:lang w:val="fr_FR" w:bidi="fr_FR"/>
          </w:rPr>
          <w:rPr>
            <w:color w:val="0000EE"/>
            <w:u w:val="single"/>
          </w:rPr>
          <w:t>8:26–40</w:t>
        </w:r>
      </w:hyperlink>
      <w:r>
        <w:rPr>
          <w:lang w:val="fr_FR" w:bidi="fr_FR"/>
        </w:rPr>
        <w:t xml:space="preserve">; </w:t>
      </w:r>
      <w:hyperlink r:id="rId27">
        <w:r>
          <w:rPr>
            <w:lang w:val="fr_FR" w:bidi="fr_FR"/>
          </w:rPr>
          <w:rPr>
            <w:color w:val="0000EE"/>
            <w:u w:val="single"/>
          </w:rPr>
          <w:t>9:32–11:18</w:t>
        </w:r>
      </w:hyperlink>
      <w:r>
        <w:rPr>
          <w:lang w:val="fr_FR" w:bidi="fr_FR"/>
        </w:rPr>
        <w:t>) et aux non-Juifs (</w:t>
      </w:r>
      <w:hyperlink r:id="rId28">
        <w:r>
          <w:rPr>
            <w:lang w:val="fr_FR" w:bidi="fr_FR"/>
          </w:rPr>
          <w:rPr>
            <w:color w:val="0000EE"/>
            <w:u w:val="single"/>
          </w:rPr>
          <w:t>11:19–30</w:t>
        </w:r>
      </w:hyperlink>
      <w:r>
        <w:rPr>
          <w:lang w:val="fr_FR" w:bidi="fr_FR"/>
        </w:rPr>
        <w:t xml:space="preserve">; </w:t>
      </w:r>
      <w:hyperlink r:id="rId19">
        <w:r>
          <w:rPr>
            <w:lang w:val="fr_FR" w:bidi="fr_FR"/>
          </w:rPr>
          <w:rPr>
            <w:color w:val="0000EE"/>
            <w:u w:val="single"/>
          </w:rPr>
          <w:t>13:1–28:31</w:t>
        </w:r>
      </w:hyperlink>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hyperlink r:id="rId20">
        <w:r>
          <w:rPr>
            <w:lang w:val="fr_FR" w:bidi="fr_FR"/>
          </w:rPr>
          <w:rPr>
            <w:color w:val="0000EE"/>
            <w:u w:val="single"/>
          </w:rPr>
          <w:t>1:8</w:t>
        </w:r>
      </w:hyperlink>
      <w:r>
        <w:rPr>
          <w:lang w:val="fr_FR" w:bidi="fr_FR"/>
        </w:rPr>
        <w:t xml:space="preserve">; </w:t>
      </w:r>
      <w:hyperlink r:id="rId29">
        <w:r>
          <w:rPr>
            <w:lang w:val="fr_FR" w:bidi="fr_FR"/>
          </w:rPr>
          <w:rPr>
            <w:color w:val="0000EE"/>
            <w:u w:val="single"/>
          </w:rPr>
          <w:t>9:15</w:t>
        </w:r>
      </w:hyperlink>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hyperlink r:id="rId30">
        <w:r>
          <w:rPr>
            <w:lang w:val="fr_FR" w:bidi="fr_FR"/>
          </w:rPr>
          <w:rPr>
            <w:color w:val="0000EE"/>
            <w:u w:val="single"/>
          </w:rPr>
          <w:t>2–5</w:t>
        </w:r>
      </w:hyperlink>
      <w:r>
        <w:rPr>
          <w:lang w:val="fr_FR" w:bidi="fr_FR"/>
        </w:rPr>
        <w:t xml:space="preserve">, </w:t>
      </w:r>
      <w:hyperlink r:id="rId31">
        <w:r>
          <w:rPr>
            <w:lang w:val="fr_FR" w:bidi="fr_FR"/>
          </w:rPr>
          <w:rPr>
            <w:color w:val="0000EE"/>
            <w:u w:val="single"/>
          </w:rPr>
          <w:t>7</w:t>
        </w:r>
      </w:hyperlink>
      <w:r>
        <w:rPr>
          <w:lang w:val="fr_FR" w:bidi="fr_FR"/>
        </w:rPr>
        <w:t xml:space="preserve">, </w:t>
      </w:r>
      <w:hyperlink r:id="rId32">
        <w:r>
          <w:rPr>
            <w:lang w:val="fr_FR" w:bidi="fr_FR"/>
          </w:rPr>
          <w:rPr>
            <w:color w:val="0000EE"/>
            <w:u w:val="single"/>
          </w:rPr>
          <w:t>10</w:t>
        </w:r>
      </w:hyperlink>
      <w:r>
        <w:rPr>
          <w:lang w:val="fr_FR" w:bidi="fr_FR"/>
        </w:rPr>
        <w:t xml:space="preserve">, </w:t>
      </w:r>
      <w:hyperlink r:id="rId33">
        <w:r>
          <w:rPr>
            <w:lang w:val="fr_FR" w:bidi="fr_FR"/>
          </w:rPr>
          <w:rPr>
            <w:color w:val="0000EE"/>
            <w:u w:val="single"/>
          </w:rPr>
          <w:t>13</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26</w:t>
        </w:r>
      </w:hyperlink>
      <w:r>
        <w:rPr>
          <w:lang w:val="fr_FR" w:bidi="fr_FR"/>
        </w:rPr>
        <w:t>). Il montre que l’Evangile s’adresse à tous les hommes : pas seulement aux Juifs, mais aussi aux non-Juifs (</w:t>
      </w:r>
      <w:hyperlink r:id="rId36">
        <w:r>
          <w:rPr>
            <w:lang w:val="fr_FR" w:bidi="fr_FR"/>
          </w:rPr>
          <w:rPr>
            <w:color w:val="0000EE"/>
            <w:u w:val="single"/>
          </w:rPr>
          <w:t>2:8–11</w:t>
        </w:r>
      </w:hyperlink>
      <w:r>
        <w:rPr>
          <w:lang w:val="fr_FR" w:bidi="fr_FR"/>
        </w:rPr>
        <w:t xml:space="preserve">; </w:t>
      </w:r>
      <w:hyperlink r:id="rId26">
        <w:r>
          <w:rPr>
            <w:lang w:val="fr_FR" w:bidi="fr_FR"/>
          </w:rPr>
          <w:rPr>
            <w:color w:val="0000EE"/>
            <w:u w:val="single"/>
          </w:rPr>
          <w:t>8:26–40</w:t>
        </w:r>
      </w:hyperlink>
      <w:r>
        <w:rPr>
          <w:lang w:val="fr_FR" w:bidi="fr_FR"/>
        </w:rPr>
        <w:t xml:space="preserve">; </w:t>
      </w:r>
      <w:hyperlink r:id="rId37">
        <w:r>
          <w:rPr>
            <w:lang w:val="fr_FR" w:bidi="fr_FR"/>
          </w:rPr>
          <w:rPr>
            <w:color w:val="0000EE"/>
            <w:u w:val="single"/>
          </w:rPr>
          <w:t>10:1–11:18</w:t>
        </w:r>
      </w:hyperlink>
      <w:r>
        <w:rPr>
          <w:lang w:val="fr_FR" w:bidi="fr_FR"/>
        </w:rPr>
        <w:t>) ; par seulement aux hommes, mais aussi aux femmes (</w:t>
      </w:r>
      <w:hyperlink r:id="rId38">
        <w:r>
          <w:rPr>
            <w:lang w:val="fr_FR" w:bidi="fr_FR"/>
          </w:rPr>
          <w:rPr>
            <w:color w:val="0000EE"/>
            <w:u w:val="single"/>
          </w:rPr>
          <w:t>5:14</w:t>
        </w:r>
      </w:hyperlink>
      <w:r>
        <w:rPr>
          <w:lang w:val="fr_FR" w:bidi="fr_FR"/>
        </w:rPr>
        <w:t xml:space="preserve">; </w:t>
      </w:r>
      <w:hyperlink r:id="rId39">
        <w:r>
          <w:rPr>
            <w:lang w:val="fr_FR" w:bidi="fr_FR"/>
          </w:rPr>
          <w:rPr>
            <w:color w:val="0000EE"/>
            <w:u w:val="single"/>
          </w:rPr>
          <w:t>8:12</w:t>
        </w:r>
      </w:hyperlink>
      <w:r>
        <w:rPr>
          <w:lang w:val="fr_FR" w:bidi="fr_FR"/>
        </w:rPr>
        <w:t xml:space="preserve">; </w:t>
      </w:r>
      <w:hyperlink r:id="rId40">
        <w:r>
          <w:rPr>
            <w:lang w:val="fr_FR" w:bidi="fr_FR"/>
          </w:rPr>
          <w:rPr>
            <w:color w:val="0000EE"/>
            <w:u w:val="single"/>
          </w:rPr>
          <w:t>16:13–15</w:t>
        </w:r>
      </w:hyperlink>
      <w:r>
        <w:rPr>
          <w:lang w:val="fr_FR" w:bidi="fr_FR"/>
        </w:rPr>
        <w:t xml:space="preserve">; </w:t>
      </w:r>
      <w:hyperlink r:id="rId41">
        <w:r>
          <w:rPr>
            <w:lang w:val="fr_FR" w:bidi="fr_FR"/>
          </w:rPr>
          <w:rPr>
            <w:color w:val="0000EE"/>
            <w:u w:val="single"/>
          </w:rPr>
          <w:t>17:4</w:t>
        </w:r>
      </w:hyperlink>
      <w:r>
        <w:rPr>
          <w:lang w:val="fr_FR" w:bidi="fr_FR"/>
        </w:rPr>
        <w:t xml:space="preserve">, </w:t>
      </w:r>
      <w:hyperlink r:id="rId42">
        <w:r>
          <w:rPr>
            <w:lang w:val="fr_FR" w:bidi="fr_FR"/>
          </w:rPr>
          <w:rPr>
            <w:color w:val="0000EE"/>
            <w:u w:val="single"/>
          </w:rPr>
          <w:t>12</w:t>
        </w:r>
      </w:hyperlink>
      <w:r>
        <w:rPr>
          <w:lang w:val="fr_FR" w:bidi="fr_FR"/>
        </w:rPr>
        <w:t xml:space="preserve">, </w:t>
      </w:r>
      <w:hyperlink r:id="rId43">
        <w:r>
          <w:rPr>
            <w:lang w:val="fr_FR" w:bidi="fr_FR"/>
          </w:rPr>
          <w:rPr>
            <w:color w:val="0000EE"/>
            <w:u w:val="single"/>
          </w:rPr>
          <w:t>34</w:t>
        </w:r>
      </w:hyperlink>
      <w:r>
        <w:rPr>
          <w:lang w:val="fr_FR" w:bidi="fr_FR"/>
        </w:rPr>
        <w:t xml:space="preserve">; </w:t>
      </w:r>
      <w:hyperlink r:id="rId44">
        <w:r>
          <w:rPr>
            <w:lang w:val="fr_FR" w:bidi="fr_FR"/>
          </w:rPr>
          <w:rPr>
            <w:color w:val="0000EE"/>
            <w:u w:val="single"/>
          </w:rPr>
          <w:t>18:26</w:t>
        </w:r>
      </w:hyperlink>
      <w:r>
        <w:rPr>
          <w:lang w:val="fr_FR" w:bidi="fr_FR"/>
        </w:rPr>
        <w:t xml:space="preserve">; </w:t>
      </w:r>
      <w:hyperlink r:id="rId45">
        <w:r>
          <w:rPr>
            <w:lang w:val="fr_FR" w:bidi="fr_FR"/>
          </w:rPr>
          <w:rPr>
            <w:color w:val="0000EE"/>
            <w:u w:val="single"/>
          </w:rPr>
          <w:t>21:9</w:t>
        </w:r>
      </w:hyperlink>
      <w:r>
        <w:rPr>
          <w:lang w:val="fr_FR" w:bidi="fr_FR"/>
        </w:rPr>
        <w:t>).</w:t>
      </w:r>
    </w:p>
    <w:p>
      <w:pPr/>
      <w:r>
        <w:rPr>
          <w:lang w:val="fr_FR" w:bidi="fr_FR"/>
        </w:rPr>
      </w:r>
      <w:r>
        <w:rPr>
          <w:lang w:val="fr_FR" w:bidi="fr_FR"/>
        </w:rPr>
        <w:t>Politique. Le livre des Actes présente une défense solide de la foi chrétienne, face aux Juifs (</w:t>
      </w:r>
      <w:hyperlink r:id="rId46">
        <w:r>
          <w:rPr>
            <w:lang w:val="fr_FR" w:bidi="fr_FR"/>
          </w:rPr>
          <w:rPr>
            <w:color w:val="0000EE"/>
            <w:u w:val="single"/>
          </w:rPr>
          <w:t>4:8–12</w:t>
        </w:r>
      </w:hyperlink>
      <w:r>
        <w:rPr>
          <w:lang w:val="fr_FR" w:bidi="fr_FR"/>
        </w:rPr>
        <w:t xml:space="preserve">; </w:t>
      </w:r>
      <w:hyperlink r:id="rId47">
        <w:r>
          <w:rPr>
            <w:lang w:val="fr_FR" w:bidi="fr_FR"/>
          </w:rPr>
          <w:rPr>
            <w:color w:val="0000EE"/>
            <w:u w:val="single"/>
          </w:rPr>
          <w:t>7:2–53</w:t>
        </w:r>
      </w:hyperlink>
      <w:r>
        <w:rPr>
          <w:lang w:val="fr_FR" w:bidi="fr_FR"/>
        </w:rPr>
        <w:t>) et aux non-Juifs (</w:t>
      </w:r>
      <w:hyperlink r:id="rId48">
        <w:r>
          <w:rPr>
            <w:lang w:val="fr_FR" w:bidi="fr_FR"/>
          </w:rPr>
          <w:rPr>
            <w:color w:val="0000EE"/>
            <w:u w:val="single"/>
          </w:rPr>
          <w:t>24:10–21</w:t>
        </w:r>
      </w:hyperlink>
      <w:r>
        <w:rPr>
          <w:lang w:val="fr_FR" w:bidi="fr_FR"/>
        </w:rPr>
        <w:t xml:space="preserve">; </w:t>
      </w:r>
      <w:hyperlink r:id="rId49">
        <w:r>
          <w:rPr>
            <w:lang w:val="fr_FR" w:bidi="fr_FR"/>
          </w:rPr>
          <w:rPr>
            <w:color w:val="0000EE"/>
            <w:u w:val="single"/>
          </w:rPr>
          <w:t>26:1–23</w:t>
        </w:r>
      </w:hyperlink>
      <w:r>
        <w:rPr>
          <w:lang w:val="fr_FR" w:bidi="fr_FR"/>
        </w:rPr>
        <w:t>). Luc défend l’idée que le christianisme a droit à la même protection dont jouissait le judaïsme et qu’il ne constitue pas un danger pour l’Etat romain (</w:t>
      </w:r>
      <w:hyperlink r:id="rId50">
        <w:r>
          <w:rPr>
            <w:lang w:val="fr_FR" w:bidi="fr_FR"/>
          </w:rPr>
          <w:rPr>
            <w:color w:val="0000EE"/>
            <w:u w:val="single"/>
          </w:rPr>
          <w:t>18:14–16</w:t>
        </w:r>
      </w:hyperlink>
      <w:r>
        <w:rPr>
          <w:lang w:val="fr_FR" w:bidi="fr_FR"/>
        </w:rPr>
        <w:t xml:space="preserve">; </w:t>
      </w:r>
      <w:hyperlink r:id="rId51">
        <w:r>
          <w:rPr>
            <w:lang w:val="fr_FR" w:bidi="fr_FR"/>
          </w:rPr>
          <w:rPr>
            <w:color w:val="0000EE"/>
            <w:u w:val="single"/>
          </w:rPr>
          <w:t>19:37</w:t>
        </w:r>
      </w:hyperlink>
      <w:r>
        <w:rPr>
          <w:lang w:val="fr_FR" w:bidi="fr_FR"/>
        </w:rPr>
        <w:t xml:space="preserve">; </w:t>
      </w:r>
      <w:hyperlink r:id="rId52">
        <w:r>
          <w:rPr>
            <w:lang w:val="fr_FR" w:bidi="fr_FR"/>
          </w:rPr>
          <w:rPr>
            <w:color w:val="0000EE"/>
            <w:u w:val="single"/>
          </w:rPr>
          <w:t>23:29</w:t>
        </w:r>
      </w:hyperlink>
      <w:r>
        <w:rPr>
          <w:lang w:val="fr_FR" w:bidi="fr_FR"/>
        </w:rPr>
        <w:t xml:space="preserve">; </w:t>
      </w:r>
      <w:hyperlink r:id="rId53">
        <w:r>
          <w:rPr>
            <w:lang w:val="fr_FR" w:bidi="fr_FR"/>
          </w:rPr>
          <w:rPr>
            <w:color w:val="0000EE"/>
            <w:u w:val="single"/>
          </w:rPr>
          <w:t>25:25</w:t>
        </w:r>
      </w:hyperlink>
      <w:r>
        <w:rPr>
          <w:lang w:val="fr_FR" w:bidi="fr_FR"/>
        </w:rPr>
        <w:t xml:space="preserve">; </w:t>
      </w:r>
      <w:hyperlink r:id="rId54">
        <w:r>
          <w:rPr>
            <w:lang w:val="fr_FR" w:bidi="fr_FR"/>
          </w:rPr>
          <w:rPr>
            <w:color w:val="0000EE"/>
            <w:u w:val="single"/>
          </w:rPr>
          <w:t>26:32</w:t>
        </w:r>
      </w:hyperlink>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hyperlink r:id="rId55">
        <w:r>
          <w:rPr>
            <w:lang w:val="fr_FR" w:bidi="fr_FR"/>
          </w:rPr>
          <w:rPr>
            <w:color w:val="0000EE"/>
            <w:u w:val="single"/>
          </w:rPr>
          <w:t>16:10</w:t>
        </w:r>
      </w:hyperlink>
      <w:r>
        <w:rPr>
          <w:lang w:val="fr_FR" w:bidi="fr_FR"/>
        </w:rPr>
        <w:t xml:space="preserve"> et la note). Il était avec Paul au cours des dernières années de sa vie (</w:t>
      </w:r>
      <w:hyperlink r:id="rId56">
        <w:r>
          <w:rPr>
            <w:lang w:val="fr_FR" w:bidi="fr_FR"/>
          </w:rPr>
          <w:rPr>
            <w:color w:val="0000EE"/>
            <w:u w:val="single"/>
          </w:rPr>
          <w:t>2 Timothée 4:11</w:t>
        </w:r>
      </w:hyperlink>
      <w:r>
        <w:rPr>
          <w:lang w:val="fr_FR" w:bidi="fr_FR"/>
        </w:rPr>
        <w:t xml:space="preserve">). Plusieurs passages des Actes sont écrits à la première personne du pluriel (« nous » ; </w:t>
      </w:r>
      <w:hyperlink r:id="rId57">
        <w:r>
          <w:rPr>
            <w:lang w:val="fr_FR" w:bidi="fr_FR"/>
          </w:rPr>
          <w:rPr>
            <w:color w:val="0000EE"/>
            <w:u w:val="single"/>
          </w:rPr>
          <w:t>16:10–18</w:t>
        </w:r>
      </w:hyperlink>
      <w:r>
        <w:rPr>
          <w:lang w:val="fr_FR" w:bidi="fr_FR"/>
        </w:rPr>
        <w:t xml:space="preserve">; </w:t>
      </w:r>
      <w:hyperlink r:id="rId58">
        <w:r>
          <w:rPr>
            <w:lang w:val="fr_FR" w:bidi="fr_FR"/>
          </w:rPr>
          <w:rPr>
            <w:color w:val="0000EE"/>
            <w:u w:val="single"/>
          </w:rPr>
          <w:t>20:5–15</w:t>
        </w:r>
      </w:hyperlink>
      <w:r>
        <w:rPr>
          <w:lang w:val="fr_FR" w:bidi="fr_FR"/>
        </w:rPr>
        <w:t xml:space="preserve">; </w:t>
      </w:r>
      <w:hyperlink r:id="rId59">
        <w:r>
          <w:rPr>
            <w:lang w:val="fr_FR" w:bidi="fr_FR"/>
          </w:rPr>
          <w:rPr>
            <w:color w:val="0000EE"/>
            <w:u w:val="single"/>
          </w:rPr>
          <w:t>21:1–18</w:t>
        </w:r>
      </w:hyperlink>
      <w:r>
        <w:rPr>
          <w:lang w:val="fr_FR" w:bidi="fr_FR"/>
        </w:rPr>
        <w:t xml:space="preserve">; </w:t>
      </w:r>
      <w:hyperlink r:id="rId60">
        <w:r>
          <w:rPr>
            <w:lang w:val="fr_FR" w:bidi="fr_FR"/>
          </w:rPr>
          <w:rPr>
            <w:color w:val="0000EE"/>
            <w:u w:val="single"/>
          </w:rPr>
          <w:t>27:1–28:16</w:t>
        </w:r>
      </w:hyperlink>
      <w:r>
        <w:rPr>
          <w:lang w:val="fr_FR" w:bidi="fr_FR"/>
        </w:rPr>
        <w:t>), ce qui suggère que Luc était avec Paul pendant ces parties de ses voyages. En Colossiens, Luc est mentionné comme « le médecin bien-aimé », dans une liste de collaborateurs non-Juifs de Paul (</w:t>
      </w:r>
      <w:hyperlink r:id="rId61">
        <w:r>
          <w:rPr>
            <w:lang w:val="fr_FR" w:bidi="fr_FR"/>
          </w:rPr>
          <w:rPr>
            <w:color w:val="0000EE"/>
            <w:u w:val="single"/>
          </w:rPr>
          <w:t>Colossiens 4:11–14</w:t>
        </w:r>
      </w:hyperlink>
      <w:r>
        <w:rPr>
          <w:lang w:val="fr_FR" w:bidi="fr_FR"/>
        </w:rPr>
        <w:t xml:space="preserve">; voir aussi </w:t>
      </w:r>
      <w:hyperlink r:id="rId62">
        <w:r>
          <w:rPr>
            <w:lang w:val="fr_FR" w:bidi="fr_FR"/>
          </w:rPr>
          <w:rPr>
            <w:color w:val="0000EE"/>
            <w:u w:val="single"/>
          </w:rPr>
          <w:t>Philémon 1:24</w:t>
        </w:r>
      </w:hyperlink>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hyperlink r:id="rId63">
        <w:r>
          <w:rPr>
            <w:lang w:val="fr_FR" w:bidi="fr_FR"/>
          </w:rPr>
          <w:rPr>
            <w:color w:val="0000EE"/>
            <w:u w:val="single"/>
          </w:rPr>
          <w:t>Luc 1:1–4</w:t>
        </w:r>
      </w:hyperlink>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0">
        <w:r>
          <w:rPr>
            <w:lang w:val="fr_FR" w:bidi="fr_FR"/>
          </w:rPr>
          <w:rPr>
            <w:color w:val="0000EE"/>
            <w:u w:val="single"/>
          </w:rPr>
          <w:t>Actes 1:8</w:t>
        </w:r>
      </w:hyperlink>
      <w:r>
        <w:rPr>
          <w:lang w:val="fr_FR" w:bidi="fr_FR"/>
        </w:rPr>
        <w:t xml:space="preserve">; </w:t>
      </w:r>
      <w:hyperlink r:id="rId29">
        <w:r>
          <w:rPr>
            <w:lang w:val="fr_FR" w:bidi="fr_FR"/>
          </w:rPr>
          <w:rPr>
            <w:color w:val="0000EE"/>
            <w:u w:val="single"/>
          </w:rPr>
          <w:t>9:15</w:t>
        </w:r>
      </w:hyperlink>
      <w:r>
        <w:rPr>
          <w:lang w:val="fr_FR" w:bidi="fr_FR"/>
        </w:rPr>
        <w:t xml:space="preserve">; </w:t>
      </w:r>
      <w:hyperlink r:id="rId23">
        <w:r>
          <w:rPr>
            <w:lang w:val="fr_FR" w:bidi="fr_FR"/>
          </w:rPr>
          <w:rPr>
            <w:color w:val="0000EE"/>
            <w:u w:val="single"/>
          </w:rPr>
          <w:t>28:31</w:t>
        </w:r>
      </w:hyperlink>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hyperlink r:id="rId63">
        <w:r>
          <w:rPr>
            <w:lang w:val="fr_FR" w:bidi="fr_FR"/>
          </w:rPr>
          <w:rPr>
            <w:color w:val="0000EE"/>
            <w:u w:val="single"/>
          </w:rPr>
          <w:t>Luc 1:1–4</w:t>
        </w:r>
      </w:hyperlink>
      <w:r>
        <w:rPr>
          <w:lang w:val="fr_FR" w:bidi="fr_FR"/>
        </w:rPr>
        <w:t xml:space="preserve">; </w:t>
      </w:r>
      <w:hyperlink r:id="rId64">
        <w:r>
          <w:rPr>
            <w:lang w:val="fr_FR" w:bidi="fr_FR"/>
          </w:rPr>
          <w:rPr>
            <w:color w:val="0000EE"/>
            <w:u w:val="single"/>
          </w:rPr>
          <w:t>Actes 1:1–2</w:t>
        </w:r>
      </w:hyperlink>
      <w:r>
        <w:rPr>
          <w:lang w:val="fr_FR" w:bidi="fr_FR"/>
        </w:rPr>
        <w:t>) : L’Evangile de Luc et le livre des Actes sont tous deux dédiés à Théophile (</w:t>
      </w:r>
      <w:hyperlink r:id="rId65">
        <w:r>
          <w:rPr>
            <w:lang w:val="fr_FR" w:bidi="fr_FR"/>
          </w:rPr>
          <w:rPr>
            <w:color w:val="0000EE"/>
            <w:u w:val="single"/>
          </w:rPr>
          <w:t>Luc 1:3</w:t>
        </w:r>
      </w:hyperlink>
      <w:r>
        <w:rPr>
          <w:lang w:val="fr_FR" w:bidi="fr_FR"/>
        </w:rPr>
        <w:t xml:space="preserve">; </w:t>
      </w:r>
      <w:hyperlink r:id="rId66">
        <w:r>
          <w:rPr>
            <w:lang w:val="fr_FR" w:bidi="fr_FR"/>
          </w:rPr>
          <w:rPr>
            <w:color w:val="0000EE"/>
            <w:u w:val="single"/>
          </w:rPr>
          <w:t>Actes 1:1</w:t>
        </w:r>
      </w:hyperlink>
      <w:r>
        <w:rPr>
          <w:lang w:val="fr_FR" w:bidi="fr_FR"/>
        </w:rPr>
        <w:t>), dont le nom signifie « qui aime Dieu ». Théophile est décrit par le titre « excellent » (</w:t>
      </w:r>
      <w:hyperlink r:id="rId65">
        <w:r>
          <w:rPr>
            <w:lang w:val="fr_FR" w:bidi="fr_FR"/>
          </w:rPr>
          <w:rPr>
            <w:color w:val="0000EE"/>
            <w:u w:val="single"/>
          </w:rPr>
          <w:t>Luc 1:3</w:t>
        </w:r>
      </w:hyperlink>
      <w:r>
        <w:rPr>
          <w:lang w:val="fr_FR" w:bidi="fr_FR"/>
        </w:rPr>
        <w:t>), employé ailleurs pour des gouverneurs romains comme Félix et Festus (</w:t>
      </w:r>
      <w:hyperlink r:id="rId67">
        <w:r>
          <w:rPr>
            <w:lang w:val="fr_FR" w:bidi="fr_FR"/>
          </w:rPr>
          <w:rPr>
            <w:color w:val="0000EE"/>
            <w:u w:val="single"/>
          </w:rPr>
          <w:t>23:26</w:t>
        </w:r>
      </w:hyperlink>
      <w:r>
        <w:rPr>
          <w:lang w:val="fr_FR" w:bidi="fr_FR"/>
        </w:rPr>
        <w:t xml:space="preserve">; </w:t>
      </w:r>
      <w:hyperlink r:id="rId68">
        <w:r>
          <w:rPr>
            <w:lang w:val="fr_FR" w:bidi="fr_FR"/>
          </w:rPr>
          <w:rPr>
            <w:color w:val="0000EE"/>
            <w:u w:val="single"/>
          </w:rPr>
          <w:t>24:2–3</w:t>
        </w:r>
      </w:hyperlink>
      <w:r>
        <w:rPr>
          <w:lang w:val="fr_FR" w:bidi="fr_FR"/>
        </w:rPr>
        <w:t xml:space="preserve">; </w:t>
      </w:r>
      <w:hyperlink r:id="rId69">
        <w:r>
          <w:rPr>
            <w:lang w:val="fr_FR" w:bidi="fr_FR"/>
          </w:rPr>
          <w:rPr>
            <w:color w:val="0000EE"/>
            <w:u w:val="single"/>
          </w:rPr>
          <w:t>26:25</w:t>
        </w:r>
      </w:hyperlink>
      <w:r>
        <w:rPr>
          <w:lang w:val="fr_FR" w:bidi="fr_FR"/>
        </w:rPr>
        <w:t>). Théophile était probablement le patron et le bienfaiteur de Luc, un non-Juif qui avait reçu l’instruction chrétienne (</w:t>
      </w:r>
      <w:hyperlink r:id="rId70">
        <w:r>
          <w:rPr>
            <w:lang w:val="fr_FR" w:bidi="fr_FR"/>
          </w:rPr>
          <w:rPr>
            <w:color w:val="0000EE"/>
            <w:u w:val="single"/>
          </w:rPr>
          <w:t>Luc 1:4</w:t>
        </w:r>
      </w:hyperlink>
      <w:r>
        <w:rPr>
          <w:lang w:val="fr_FR" w:bidi="fr_FR"/>
        </w:rPr>
        <w:t>). Luc voulait lui donner, ainsi qu’aux autres croyants, une compréhension juste de la foi chrétienne et de sa diffusion dans le monde méditerranéen, afin qu’ils puissent « reconnaître la certitude » de leur foi (</w:t>
      </w:r>
      <w:hyperlink r:id="rId70">
        <w:r>
          <w:rPr>
            <w:lang w:val="fr_FR" w:bidi="fr_FR"/>
          </w:rPr>
          <w:rPr>
            <w:color w:val="0000EE"/>
            <w:u w:val="single"/>
          </w:rPr>
          <w:t>Luc 1:4</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hyperlink r:id="rId71">
        <w:r>
          <w:rPr>
            <w:lang w:val="fr_FR" w:bidi="fr_FR"/>
          </w:rPr>
          <w:rPr>
            <w:color w:val="0000EE"/>
            <w:u w:val="single"/>
          </w:rPr>
          <w:t>11:28</w:t>
        </w:r>
      </w:hyperlink>
      <w:r>
        <w:rPr>
          <w:lang w:val="fr_FR" w:bidi="fr_FR"/>
        </w:rPr>
        <w:t xml:space="preserve">; </w:t>
      </w:r>
      <w:hyperlink r:id="rId72">
        <w:r>
          <w:rPr>
            <w:lang w:val="fr_FR" w:bidi="fr_FR"/>
          </w:rPr>
          <w:rPr>
            <w:color w:val="0000EE"/>
            <w:u w:val="single"/>
          </w:rPr>
          <w:t>18:2</w:t>
        </w:r>
      </w:hyperlink>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3">
        <w:r>
          <w:rPr>
            <w:lang w:val="fr_FR" w:bidi="fr_FR"/>
          </w:rPr>
          <w:rPr>
            <w:color w:val="0000EE"/>
            <w:u w:val="single"/>
          </w:rPr>
          <w:t>5:17–32</w:t>
        </w:r>
      </w:hyperlink>
      <w:r>
        <w:rPr>
          <w:lang w:val="fr_FR" w:bidi="fr_FR"/>
        </w:rPr>
        <w:t xml:space="preserve">; </w:t>
      </w:r>
      <w:hyperlink r:id="rId74">
        <w:r>
          <w:rPr>
            <w:lang w:val="fr_FR" w:bidi="fr_FR"/>
          </w:rPr>
          <w:rPr>
            <w:color w:val="0000EE"/>
            <w:u w:val="single"/>
          </w:rPr>
          <w:t>12:1–17</w:t>
        </w:r>
      </w:hyperlink>
      <w:r>
        <w:rPr>
          <w:lang w:val="fr_FR" w:bidi="fr_FR"/>
        </w:rPr>
        <w:t xml:space="preserve">; </w:t>
      </w:r>
      <w:hyperlink r:id="rId75">
        <w:r>
          <w:rPr>
            <w:lang w:val="fr_FR" w:bidi="fr_FR"/>
          </w:rPr>
          <w:rPr>
            <w:color w:val="0000EE"/>
            <w:u w:val="single"/>
          </w:rPr>
          <w:t>14:8–20</w:t>
        </w:r>
      </w:hyperlink>
      <w:r>
        <w:rPr>
          <w:lang w:val="fr_FR" w:bidi="fr_FR"/>
        </w:rPr>
        <w:t xml:space="preserve">; </w:t>
      </w:r>
      <w:hyperlink r:id="rId76">
        <w:r>
          <w:rPr>
            <w:lang w:val="fr_FR" w:bidi="fr_FR"/>
          </w:rPr>
          <w:rPr>
            <w:color w:val="0000EE"/>
            <w:u w:val="single"/>
          </w:rPr>
          <w:t>16:11–40</w:t>
        </w:r>
      </w:hyperlink>
      <w:r>
        <w:rPr>
          <w:lang w:val="fr_FR" w:bidi="fr_FR"/>
        </w:rPr>
        <w:t xml:space="preserve">; </w:t>
      </w:r>
      <w:hyperlink r:id="rId77">
        <w:r>
          <w:rPr>
            <w:lang w:val="fr_FR" w:bidi="fr_FR"/>
          </w:rPr>
          <w:rPr>
            <w:color w:val="0000EE"/>
            <w:u w:val="single"/>
          </w:rPr>
          <w:t>27:1–44</w:t>
        </w:r>
      </w:hyperlink>
      <w:r>
        <w:rPr>
          <w:lang w:val="fr_FR" w:bidi="fr_FR"/>
        </w:rPr>
        <w:t>).</w:t>
      </w:r>
    </w:p>
    <w:p>
      <w:pPr/>
      <w:r>
        <w:rPr>
          <w:lang w:val="fr_FR" w:bidi="fr_FR"/>
        </w:rPr>
      </w:r>
      <w:r>
        <w:rPr>
          <w:lang w:val="fr_FR" w:bidi="fr_FR"/>
        </w:rPr>
        <w:t>Le livre des Actes est ponctué de discours puissants de Pierre, Etienne, Jacques et Paul (</w:t>
      </w:r>
      <w:hyperlink r:id="rId78">
        <w:r>
          <w:rPr>
            <w:lang w:val="fr_FR" w:bidi="fr_FR"/>
          </w:rPr>
          <w:rPr>
            <w:color w:val="0000EE"/>
            <w:u w:val="single"/>
          </w:rPr>
          <w:t>2:14–40</w:t>
        </w:r>
      </w:hyperlink>
      <w:r>
        <w:rPr>
          <w:lang w:val="fr_FR" w:bidi="fr_FR"/>
        </w:rPr>
        <w:t xml:space="preserve">; </w:t>
      </w:r>
      <w:hyperlink r:id="rId47">
        <w:r>
          <w:rPr>
            <w:lang w:val="fr_FR" w:bidi="fr_FR"/>
          </w:rPr>
          <w:rPr>
            <w:color w:val="0000EE"/>
            <w:u w:val="single"/>
          </w:rPr>
          <w:t>7:2–53</w:t>
        </w:r>
      </w:hyperlink>
      <w:r>
        <w:rPr>
          <w:lang w:val="fr_FR" w:bidi="fr_FR"/>
        </w:rPr>
        <w:t xml:space="preserve">; </w:t>
      </w:r>
      <w:hyperlink r:id="rId79">
        <w:r>
          <w:rPr>
            <w:lang w:val="fr_FR" w:bidi="fr_FR"/>
          </w:rPr>
          <w:rPr>
            <w:color w:val="0000EE"/>
            <w:u w:val="single"/>
          </w:rPr>
          <w:t>15:13–21</w:t>
        </w:r>
      </w:hyperlink>
      <w:r>
        <w:rPr>
          <w:lang w:val="fr_FR" w:bidi="fr_FR"/>
        </w:rPr>
        <w:t xml:space="preserve">; </w:t>
      </w:r>
      <w:hyperlink r:id="rId80">
        <w:r>
          <w:rPr>
            <w:lang w:val="fr_FR" w:bidi="fr_FR"/>
          </w:rPr>
          <w:rPr>
            <w:color w:val="0000EE"/>
            <w:u w:val="single"/>
          </w:rPr>
          <w:t>22:3–21</w:t>
        </w:r>
      </w:hyperlink>
      <w:r>
        <w:rPr>
          <w:lang w:val="fr_FR" w:bidi="fr_FR"/>
        </w:rPr>
        <w:t>). Les divers genres littéraires contenus dans ce livre correspondent remarquablement bien au cadre culturel. Le sermon de Pierre, le jour de la Pentecôte (</w:t>
      </w:r>
      <w:hyperlink r:id="rId78">
        <w:r>
          <w:rPr>
            <w:lang w:val="fr_FR" w:bidi="fr_FR"/>
          </w:rPr>
          <w:rPr>
            <w:color w:val="0000EE"/>
            <w:u w:val="single"/>
          </w:rPr>
          <w:t>2:14–40</w:t>
        </w:r>
      </w:hyperlink>
      <w:r>
        <w:rPr>
          <w:lang w:val="fr_FR" w:bidi="fr_FR"/>
        </w:rPr>
        <w:t>), est clairement Juif, tandis que la prédication de Paul à Athènes, devant les philosophes grecs cultivés, emploie les formes oratoires grecques (</w:t>
      </w:r>
      <w:hyperlink r:id="rId81">
        <w:r>
          <w:rPr>
            <w:lang w:val="fr_FR" w:bidi="fr_FR"/>
          </w:rPr>
          <w:rPr>
            <w:color w:val="0000EE"/>
            <w:u w:val="single"/>
          </w:rPr>
          <w:t>17:22–31</w:t>
        </w:r>
      </w:hyperlink>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hyperlink r:id="rId82">
        <w:r>
          <w:rPr>
            <w:lang w:val="fr_FR" w:bidi="fr_FR"/>
          </w:rPr>
          <w:rPr>
            <w:color w:val="0000EE"/>
            <w:u w:val="single"/>
          </w:rPr>
          <w:t>2:16–36</w:t>
        </w:r>
      </w:hyperlink>
      <w:r>
        <w:rPr>
          <w:lang w:val="fr_FR" w:bidi="fr_FR"/>
        </w:rPr>
        <w:t xml:space="preserve">; </w:t>
      </w:r>
      <w:hyperlink r:id="rId83">
        <w:r>
          <w:rPr>
            <w:lang w:val="fr_FR" w:bidi="fr_FR"/>
          </w:rPr>
          <w:rPr>
            <w:color w:val="0000EE"/>
            <w:u w:val="single"/>
          </w:rPr>
          <w:t>4:11–12</w:t>
        </w:r>
      </w:hyperlink>
      <w:r>
        <w:rPr>
          <w:lang w:val="fr_FR" w:bidi="fr_FR"/>
        </w:rPr>
        <w:t xml:space="preserve">; </w:t>
      </w:r>
      <w:hyperlink r:id="rId84">
        <w:r>
          <w:rPr>
            <w:lang w:val="fr_FR" w:bidi="fr_FR"/>
          </w:rPr>
          <w:rPr>
            <w:color w:val="0000EE"/>
            <w:u w:val="single"/>
          </w:rPr>
          <w:t>10:42–43</w:t>
        </w:r>
      </w:hyperlink>
      <w:r>
        <w:rPr>
          <w:lang w:val="fr_FR" w:bidi="fr_FR"/>
        </w:rPr>
        <w:t xml:space="preserve">; </w:t>
      </w:r>
      <w:hyperlink r:id="rId85">
        <w:r>
          <w:rPr>
            <w:lang w:val="fr_FR" w:bidi="fr_FR"/>
          </w:rPr>
          <w:rPr>
            <w:color w:val="0000EE"/>
            <w:u w:val="single"/>
          </w:rPr>
          <w:t>13:16–41</w:t>
        </w:r>
      </w:hyperlink>
      <w:r>
        <w:rPr>
          <w:lang w:val="fr_FR" w:bidi="fr_FR"/>
        </w:rPr>
        <w:t xml:space="preserve">; </w:t>
      </w:r>
      <w:hyperlink r:id="rId86">
        <w:r>
          <w:rPr>
            <w:lang w:val="fr_FR" w:bidi="fr_FR"/>
          </w:rPr>
          <w:rPr>
            <w:color w:val="0000EE"/>
            <w:u w:val="single"/>
          </w:rPr>
          <w:t>17:30–31</w:t>
        </w:r>
      </w:hyperlink>
      <w:r>
        <w:rPr>
          <w:lang w:val="fr_FR" w:bidi="fr_FR"/>
        </w:rPr>
        <w:t xml:space="preserve">; voir </w:t>
      </w:r>
      <w:hyperlink r:id="rId87">
        <w:r>
          <w:rPr>
            <w:lang w:val="fr_FR" w:bidi="fr_FR"/>
          </w:rPr>
          <w:rPr>
            <w:color w:val="0000EE"/>
            <w:u w:val="single"/>
          </w:rPr>
          <w:t>Luc 24:25–27</w:t>
        </w:r>
      </w:hyperlink>
      <w:r>
        <w:rPr>
          <w:lang w:val="fr_FR" w:bidi="fr_FR"/>
        </w:rPr>
        <w:t xml:space="preserve">, </w:t>
      </w:r>
      <w:hyperlink r:id="rId88">
        <w:r>
          <w:rPr>
            <w:lang w:val="fr_FR" w:bidi="fr_FR"/>
          </w:rPr>
          <w:rPr>
            <w:color w:val="0000EE"/>
            <w:u w:val="single"/>
          </w:rPr>
          <w:t>44–47</w:t>
        </w:r>
      </w:hyperlink>
      <w:r>
        <w:rPr>
          <w:lang w:val="fr_FR" w:bidi="fr_FR"/>
        </w:rPr>
        <w:t>). Il démontre aussi que Christ a apporté le salut (</w:t>
      </w:r>
      <w:hyperlink r:id="rId89">
        <w:r>
          <w:rPr>
            <w:lang w:val="fr_FR" w:bidi="fr_FR"/>
          </w:rPr>
          <w:rPr>
            <w:color w:val="0000EE"/>
            <w:u w:val="single"/>
          </w:rPr>
          <w:t>8:35</w:t>
        </w:r>
      </w:hyperlink>
      <w:r>
        <w:rPr>
          <w:lang w:val="fr_FR" w:bidi="fr_FR"/>
        </w:rPr>
        <w:t xml:space="preserve">; </w:t>
      </w:r>
      <w:hyperlink r:id="rId90">
        <w:r>
          <w:rPr>
            <w:lang w:val="fr_FR" w:bidi="fr_FR"/>
          </w:rPr>
          <w:rPr>
            <w:color w:val="0000EE"/>
            <w:u w:val="single"/>
          </w:rPr>
          <w:t>10:36</w:t>
        </w:r>
      </w:hyperlink>
      <w:r>
        <w:rPr>
          <w:lang w:val="fr_FR" w:bidi="fr_FR"/>
        </w:rPr>
        <w:t xml:space="preserve">; </w:t>
      </w:r>
      <w:hyperlink r:id="rId91">
        <w:r>
          <w:rPr>
            <w:lang w:val="fr_FR" w:bidi="fr_FR"/>
          </w:rPr>
          <w:rPr>
            <w:color w:val="0000EE"/>
            <w:u w:val="single"/>
          </w:rPr>
          <w:t>16:17</w:t>
        </w:r>
      </w:hyperlink>
      <w:r>
        <w:rPr>
          <w:lang w:val="fr_FR" w:bidi="fr_FR"/>
        </w:rPr>
        <w:t xml:space="preserve">, </w:t>
      </w:r>
      <w:hyperlink r:id="rId15">
        <w:r>
          <w:rPr>
            <w:lang w:val="fr_FR" w:bidi="fr_FR"/>
          </w:rPr>
          <w:rPr>
            <w:color w:val="0000EE"/>
            <w:u w:val="single"/>
          </w:rPr>
          <w:t>30–31</w:t>
        </w:r>
      </w:hyperlink>
      <w:r>
        <w:rPr>
          <w:lang w:val="fr_FR" w:bidi="fr_FR"/>
        </w:rPr>
        <w:t>), que la prière fait avancer le Royaume de Dieu (</w:t>
      </w:r>
      <w:hyperlink r:id="rId92">
        <w:r>
          <w:rPr>
            <w:lang w:val="fr_FR" w:bidi="fr_FR"/>
          </w:rPr>
          <w:rPr>
            <w:color w:val="0000EE"/>
            <w:u w:val="single"/>
          </w:rPr>
          <w:t>1:12–15</w:t>
        </w:r>
      </w:hyperlink>
      <w:r>
        <w:rPr>
          <w:lang w:val="fr_FR" w:bidi="fr_FR"/>
        </w:rPr>
        <w:t xml:space="preserve">; </w:t>
      </w:r>
      <w:hyperlink r:id="rId93">
        <w:r>
          <w:rPr>
            <w:lang w:val="fr_FR" w:bidi="fr_FR"/>
          </w:rPr>
          <w:rPr>
            <w:color w:val="0000EE"/>
            <w:u w:val="single"/>
          </w:rPr>
          <w:t>2:1–4</w:t>
        </w:r>
      </w:hyperlink>
      <w:r>
        <w:rPr>
          <w:lang w:val="fr_FR" w:bidi="fr_FR"/>
        </w:rPr>
        <w:t xml:space="preserve">; </w:t>
      </w:r>
      <w:hyperlink r:id="rId94">
        <w:r>
          <w:rPr>
            <w:lang w:val="fr_FR" w:bidi="fr_FR"/>
          </w:rPr>
          <w:rPr>
            <w:color w:val="0000EE"/>
            <w:u w:val="single"/>
          </w:rPr>
          <w:t>4:24–31</w:t>
        </w:r>
      </w:hyperlink>
      <w:r>
        <w:rPr>
          <w:lang w:val="fr_FR" w:bidi="fr_FR"/>
        </w:rPr>
        <w:t xml:space="preserve">; </w:t>
      </w:r>
      <w:hyperlink r:id="rId95">
        <w:r>
          <w:rPr>
            <w:lang w:val="fr_FR" w:bidi="fr_FR"/>
          </w:rPr>
          <w:rPr>
            <w:color w:val="0000EE"/>
            <w:u w:val="single"/>
          </w:rPr>
          <w:t>12:5</w:t>
        </w:r>
      </w:hyperlink>
      <w:r>
        <w:rPr>
          <w:lang w:val="fr_FR" w:bidi="fr_FR"/>
        </w:rPr>
        <w:t>) et que le Saint-Esprit donne au peuple de Dieu la force et la capacité d’accomplir sa mission (</w:t>
      </w:r>
      <w:hyperlink r:id="rId20">
        <w:r>
          <w:rPr>
            <w:lang w:val="fr_FR" w:bidi="fr_FR"/>
          </w:rPr>
          <w:rPr>
            <w:color w:val="0000EE"/>
            <w:u w:val="single"/>
          </w:rPr>
          <w:t>1:8</w:t>
        </w:r>
      </w:hyperlink>
      <w:r>
        <w:rPr>
          <w:lang w:val="fr_FR" w:bidi="fr_FR"/>
        </w:rPr>
        <w:t xml:space="preserve">; </w:t>
      </w:r>
      <w:hyperlink r:id="rId96">
        <w:r>
          <w:rPr>
            <w:lang w:val="fr_FR" w:bidi="fr_FR"/>
          </w:rPr>
          <w:rPr>
            <w:color w:val="0000EE"/>
            <w:u w:val="single"/>
          </w:rPr>
          <w:t>4:8</w:t>
        </w:r>
      </w:hyperlink>
      <w:r>
        <w:rPr>
          <w:lang w:val="fr_FR" w:bidi="fr_FR"/>
        </w:rPr>
        <w:t xml:space="preserve">, </w:t>
      </w:r>
      <w:hyperlink r:id="rId97">
        <w:r>
          <w:rPr>
            <w:lang w:val="fr_FR" w:bidi="fr_FR"/>
          </w:rPr>
          <w:rPr>
            <w:color w:val="0000EE"/>
            <w:u w:val="single"/>
          </w:rPr>
          <w:t>31</w:t>
        </w:r>
      </w:hyperlink>
      <w:r>
        <w:rPr>
          <w:lang w:val="fr_FR" w:bidi="fr_FR"/>
        </w:rPr>
        <w:t xml:space="preserve">; </w:t>
      </w:r>
      <w:hyperlink r:id="rId98">
        <w:r>
          <w:rPr>
            <w:lang w:val="fr_FR" w:bidi="fr_FR"/>
          </w:rPr>
          <w:rPr>
            <w:color w:val="0000EE"/>
            <w:u w:val="single"/>
          </w:rPr>
          <w:t>6:3</w:t>
        </w:r>
      </w:hyperlink>
      <w:r>
        <w:rPr>
          <w:lang w:val="fr_FR" w:bidi="fr_FR"/>
        </w:rPr>
        <w:t xml:space="preserve">, </w:t>
      </w:r>
      <w:hyperlink r:id="rId99">
        <w:r>
          <w:rPr>
            <w:lang w:val="fr_FR" w:bidi="fr_FR"/>
          </w:rPr>
          <w:rPr>
            <w:color w:val="0000EE"/>
            <w:u w:val="single"/>
          </w:rPr>
          <w:t>5</w:t>
        </w:r>
      </w:hyperlink>
      <w:r>
        <w:rPr>
          <w:lang w:val="fr_FR" w:bidi="fr_FR"/>
        </w:rPr>
        <w:t xml:space="preserve">, </w:t>
      </w:r>
      <w:hyperlink r:id="rId100">
        <w:r>
          <w:rPr>
            <w:lang w:val="fr_FR" w:bidi="fr_FR"/>
          </w:rPr>
          <w:rPr>
            <w:color w:val="0000EE"/>
            <w:u w:val="single"/>
          </w:rPr>
          <w:t>10</w:t>
        </w:r>
      </w:hyperlink>
      <w:r>
        <w:rPr>
          <w:lang w:val="fr_FR" w:bidi="fr_FR"/>
        </w:rPr>
        <w:t xml:space="preserve">; </w:t>
      </w:r>
      <w:hyperlink r:id="rId101">
        <w:r>
          <w:rPr>
            <w:lang w:val="fr_FR" w:bidi="fr_FR"/>
          </w:rPr>
          <w:rPr>
            <w:color w:val="0000EE"/>
            <w:u w:val="single"/>
          </w:rPr>
          <w:t>7:55</w:t>
        </w:r>
      </w:hyperlink>
      <w:r>
        <w:rPr>
          <w:lang w:val="fr_FR" w:bidi="fr_FR"/>
        </w:rPr>
        <w:t xml:space="preserve">; </w:t>
      </w:r>
      <w:hyperlink r:id="rId102">
        <w:r>
          <w:rPr>
            <w:lang w:val="fr_FR" w:bidi="fr_FR"/>
          </w:rPr>
          <w:rPr>
            <w:color w:val="0000EE"/>
            <w:u w:val="single"/>
          </w:rPr>
          <w:t>11:24</w:t>
        </w:r>
      </w:hyperlink>
      <w:r>
        <w:rPr>
          <w:lang w:val="fr_FR" w:bidi="fr_FR"/>
        </w:rPr>
        <w:t xml:space="preserve">; </w:t>
      </w:r>
      <w:hyperlink r:id="rId103">
        <w:r>
          <w:rPr>
            <w:lang w:val="fr_FR" w:bidi="fr_FR"/>
          </w:rPr>
          <w:rPr>
            <w:color w:val="0000EE"/>
            <w:u w:val="single"/>
          </w:rPr>
          <w:t>13:9</w:t>
        </w:r>
      </w:hyperlink>
      <w:r>
        <w:rPr>
          <w:lang w:val="fr_FR" w:bidi="fr_FR"/>
        </w:rPr>
        <w:t xml:space="preserve">, </w:t>
      </w:r>
      <w:hyperlink r:id="rId104">
        <w:r>
          <w:rPr>
            <w:lang w:val="fr_FR" w:bidi="fr_FR"/>
          </w:rPr>
          <w:rPr>
            <w:color w:val="0000EE"/>
            <w:u w:val="single"/>
          </w:rPr>
          <w:t>52</w:t>
        </w:r>
      </w:hyperlink>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hyperlink r:id="rId105">
        <w:r>
          <w:rPr>
            <w:lang w:val="fr_FR" w:bidi="fr_FR"/>
          </w:rPr>
          <w:rPr>
            <w:color w:val="0000EE"/>
            <w:u w:val="single"/>
          </w:rPr>
          <w:t>1:22</w:t>
        </w:r>
      </w:hyperlink>
      <w:r>
        <w:rPr>
          <w:lang w:val="fr_FR" w:bidi="fr_FR"/>
        </w:rPr>
        <w:t xml:space="preserve">; </w:t>
      </w:r>
      <w:hyperlink r:id="rId106">
        <w:r>
          <w:rPr>
            <w:lang w:val="fr_FR" w:bidi="fr_FR"/>
          </w:rPr>
          <w:rPr>
            <w:color w:val="0000EE"/>
            <w:u w:val="single"/>
          </w:rPr>
          <w:t>10:39–41</w:t>
        </w:r>
      </w:hyperlink>
      <w:r>
        <w:rPr>
          <w:lang w:val="fr_FR" w:bidi="fr_FR"/>
        </w:rPr>
        <w:t xml:space="preserve">; voir </w:t>
      </w:r>
      <w:hyperlink r:id="rId107">
        <w:r>
          <w:rPr>
            <w:lang w:val="fr_FR" w:bidi="fr_FR"/>
          </w:rPr>
          <w:rPr>
            <w:color w:val="0000EE"/>
            <w:u w:val="single"/>
          </w:rPr>
          <w:t>Luc 1:2</w:t>
        </w:r>
      </w:hyperlink>
      <w:r>
        <w:rPr>
          <w:lang w:val="fr_FR" w:bidi="fr_FR"/>
        </w:rPr>
        <w:t>) et démontre l’importance de Jésus dans le plan de Dieu pour racheter l’humanité (</w:t>
      </w:r>
      <w:hyperlink r:id="rId108">
        <w:r>
          <w:rPr>
            <w:lang w:val="fr_FR" w:bidi="fr_FR"/>
          </w:rPr>
          <w:rPr>
            <w:color w:val="0000EE"/>
            <w:u w:val="single"/>
          </w:rPr>
          <w:t>2:40</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0">
        <w:r>
          <w:rPr>
            <w:lang w:val="fr_FR" w:bidi="fr_FR"/>
          </w:rPr>
          <w:rPr>
            <w:color w:val="0000EE"/>
            <w:u w:val="single"/>
          </w:rPr>
          <w:t>4:33</w:t>
        </w:r>
      </w:hyperlink>
      <w:r>
        <w:rPr>
          <w:lang w:val="fr_FR" w:bidi="fr_FR"/>
        </w:rPr>
        <w:t xml:space="preserve">; </w:t>
      </w:r>
      <w:hyperlink r:id="rId111">
        <w:r>
          <w:rPr>
            <w:lang w:val="fr_FR" w:bidi="fr_FR"/>
          </w:rPr>
          <w:rPr>
            <w:color w:val="0000EE"/>
            <w:u w:val="single"/>
          </w:rPr>
          <w:t>10:42</w:t>
        </w:r>
      </w:hyperlink>
      <w:r>
        <w:rPr>
          <w:lang w:val="fr_FR" w:bidi="fr_FR"/>
        </w:rPr>
        <w:t>). Par la suite, d’autres responsables chrétiens ont partagé la tâche de témoigner de leur Seigneur. Etienne et Philippe sont deux beaux exemples de témoins courageux de leur foi (</w:t>
      </w:r>
      <w:hyperlink r:id="rId47">
        <w:r>
          <w:rPr>
            <w:lang w:val="fr_FR" w:bidi="fr_FR"/>
          </w:rPr>
          <w:rPr>
            <w:color w:val="0000EE"/>
            <w:u w:val="single"/>
          </w:rPr>
          <w:t>7:2–53</w:t>
        </w:r>
      </w:hyperlink>
      <w:r>
        <w:rPr>
          <w:lang w:val="fr_FR" w:bidi="fr_FR"/>
        </w:rPr>
        <w:t xml:space="preserve">; </w:t>
      </w:r>
      <w:hyperlink r:id="rId112">
        <w:r>
          <w:rPr>
            <w:lang w:val="fr_FR" w:bidi="fr_FR"/>
          </w:rPr>
          <w:rPr>
            <w:color w:val="0000EE"/>
            <w:u w:val="single"/>
          </w:rPr>
          <w:t>8:4–40</w:t>
        </w:r>
      </w:hyperlink>
      <w:r>
        <w:rPr>
          <w:lang w:val="fr_FR" w:bidi="fr_FR"/>
        </w:rPr>
        <w:t xml:space="preserve">). D’autres chrétiens témoignaient tout simplement de leur foi lorsque l’occasion se présentait (voir, par ex., </w:t>
      </w:r>
      <w:hyperlink r:id="rId113">
        <w:r>
          <w:rPr>
            <w:lang w:val="fr_FR" w:bidi="fr_FR"/>
          </w:rPr>
          <w:rPr>
            <w:color w:val="0000EE"/>
            <w:u w:val="single"/>
          </w:rPr>
          <w:t>8:1–4</w:t>
        </w:r>
      </w:hyperlink>
      <w:r>
        <w:rPr>
          <w:lang w:val="fr_FR" w:bidi="fr_FR"/>
        </w:rPr>
        <w:t xml:space="preserve">; </w:t>
      </w:r>
      <w:hyperlink r:id="rId114">
        <w:r>
          <w:rPr>
            <w:lang w:val="fr_FR" w:bidi="fr_FR"/>
          </w:rPr>
          <w:rPr>
            <w:color w:val="0000EE"/>
            <w:u w:val="single"/>
          </w:rPr>
          <w:t>11:19–21</w:t>
        </w:r>
      </w:hyperlink>
      <w:r>
        <w:rPr>
          <w:lang w:val="fr_FR" w:bidi="fr_FR"/>
        </w:rPr>
        <w:t>). Par la suite, Dieu a appelé Paul à être « choisi et je l'utiliserai pour faire connaître mon nom aux autres peuples et à leurs rois, ainsi qu'aux Israélites.» (</w:t>
      </w:r>
      <w:hyperlink r:id="rId29">
        <w:r>
          <w:rPr>
            <w:lang w:val="fr_FR" w:bidi="fr_FR"/>
          </w:rPr>
          <w:rPr>
            <w:color w:val="0000EE"/>
            <w:u w:val="single"/>
          </w:rPr>
          <w:t>9:15</w:t>
        </w:r>
      </w:hyperlink>
      <w:r>
        <w:rPr>
          <w:lang w:val="fr_FR" w:bidi="fr_FR"/>
        </w:rPr>
        <w:t xml:space="preserve">; </w:t>
      </w:r>
      <w:hyperlink r:id="rId115">
        <w:r>
          <w:rPr>
            <w:lang w:val="fr_FR" w:bidi="fr_FR"/>
          </w:rPr>
          <w:rPr>
            <w:color w:val="0000EE"/>
            <w:u w:val="single"/>
          </w:rPr>
          <w:t>22:1–21</w:t>
        </w:r>
      </w:hyperlink>
      <w:r>
        <w:rPr>
          <w:lang w:val="fr_FR" w:bidi="fr_FR"/>
        </w:rPr>
        <w:t xml:space="preserve">; </w:t>
      </w:r>
      <w:hyperlink r:id="rId116">
        <w:r>
          <w:rPr>
            <w:lang w:val="fr_FR" w:bidi="fr_FR"/>
          </w:rPr>
          <w:rPr>
            <w:color w:val="0000EE"/>
            <w:u w:val="single"/>
          </w:rPr>
          <w:t>26:2–23</w:t>
        </w:r>
      </w:hyperlink>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hyperlink r:id="rId117">
        <w:r>
          <w:rPr>
            <w:lang w:val="fr_FR" w:bidi="fr_FR"/>
          </w:rPr>
          <w:rPr>
            <w:color w:val="0000EE"/>
            <w:u w:val="single"/>
          </w:rPr>
          <w:t>2:22–36</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8">
        <w:r>
          <w:rPr>
            <w:lang w:val="fr_FR" w:bidi="fr_FR"/>
          </w:rPr>
          <w:rPr>
            <w:color w:val="0000EE"/>
            <w:u w:val="single"/>
          </w:rPr>
          <w:t>4:27–28</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119">
        <w:r>
          <w:rPr>
            <w:lang w:val="fr_FR" w:bidi="fr_FR"/>
          </w:rPr>
          <w:rPr>
            <w:color w:val="0000EE"/>
            <w:u w:val="single"/>
          </w:rPr>
          <w:t>7:52</w:t>
        </w:r>
      </w:hyperlink>
      <w:r>
        <w:rPr>
          <w:lang w:val="fr_FR" w:bidi="fr_FR"/>
        </w:rPr>
        <w:t xml:space="preserve">; </w:t>
      </w:r>
      <w:hyperlink r:id="rId120">
        <w:r>
          <w:rPr>
            <w:lang w:val="fr_FR" w:bidi="fr_FR"/>
          </w:rPr>
          <w:rPr>
            <w:color w:val="0000EE"/>
            <w:u w:val="single"/>
          </w:rPr>
          <w:t>8:32–35</w:t>
        </w:r>
      </w:hyperlink>
      <w:r>
        <w:rPr>
          <w:lang w:val="fr_FR" w:bidi="fr_FR"/>
        </w:rPr>
        <w:t xml:space="preserve">; </w:t>
      </w:r>
      <w:hyperlink r:id="rId121">
        <w:r>
          <w:rPr>
            <w:lang w:val="fr_FR" w:bidi="fr_FR"/>
          </w:rPr>
          <w:rPr>
            <w:color w:val="0000EE"/>
            <w:u w:val="single"/>
          </w:rPr>
          <w:t>10:38–43</w:t>
        </w:r>
      </w:hyperlink>
      <w:r>
        <w:rPr>
          <w:lang w:val="fr_FR" w:bidi="fr_FR"/>
        </w:rPr>
        <w:t xml:space="preserve">; </w:t>
      </w:r>
      <w:hyperlink r:id="rId122">
        <w:r>
          <w:rPr>
            <w:lang w:val="fr_FR" w:bidi="fr_FR"/>
          </w:rPr>
          <w:rPr>
            <w:color w:val="0000EE"/>
            <w:u w:val="single"/>
          </w:rPr>
          <w:t>13:26–39</w:t>
        </w:r>
      </w:hyperlink>
      <w:r>
        <w:rPr>
          <w:lang w:val="fr_FR" w:bidi="fr_FR"/>
        </w:rPr>
        <w:t>). Jésus est celui qui a été choisi pour racheter l’humanité. Le message des apôtres était : « Crois au Seigneur Jésus, et tu seras sauvé » (</w:t>
      </w:r>
      <w:hyperlink r:id="rId123">
        <w:r>
          <w:rPr>
            <w:lang w:val="fr_FR" w:bidi="fr_FR"/>
          </w:rPr>
          <w:rPr>
            <w:color w:val="0000EE"/>
            <w:u w:val="single"/>
          </w:rPr>
          <w:t>16:31</w:t>
        </w:r>
      </w:hyperlink>
      <w:r>
        <w:rPr>
          <w:lang w:val="fr_FR" w:bidi="fr_FR"/>
        </w:rPr>
        <w:t>). Dieu offre sa grâce et son pardon à tous, « la paix par Jésus Christ, qui est le Seigneur de tous » (</w:t>
      </w:r>
      <w:hyperlink r:id="rId90">
        <w:r>
          <w:rPr>
            <w:lang w:val="fr_FR" w:bidi="fr_FR"/>
          </w:rPr>
          <w:rPr>
            <w:color w:val="0000EE"/>
            <w:u w:val="single"/>
          </w:rPr>
          <w:t>10:36</w:t>
        </w:r>
      </w:hyperlink>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4">
        <w:r>
          <w:rPr>
            <w:lang w:val="fr_FR" w:bidi="fr_FR"/>
          </w:rPr>
          <w:rPr>
            <w:color w:val="0000EE"/>
            <w:u w:val="single"/>
          </w:rPr>
          <w:t>1:12–14</w:t>
        </w:r>
      </w:hyperlink>
      <w:r>
        <w:rPr>
          <w:lang w:val="fr_FR" w:bidi="fr_FR"/>
        </w:rPr>
        <w:t>) parmi les Juifs et les non-Juifs à travers le monde romain. En fait, le livre des Actes conclut sur Paul qui annonce ce message librement à Rome, la plus grande ville du monde biblique (</w:t>
      </w:r>
      <w:hyperlink r:id="rId125">
        <w:r>
          <w:rPr>
            <w:lang w:val="fr_FR" w:bidi="fr_FR"/>
          </w:rPr>
          <w:rPr>
            <w:color w:val="0000EE"/>
            <w:u w:val="single"/>
          </w:rPr>
          <w:t>28:30–31</w:t>
        </w:r>
      </w:hyperlink>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hyperlink r:id="rId126">
        <w:r>
          <w:rPr>
            <w:lang w:val="fr_FR" w:bidi="fr_FR"/>
          </w:rPr>
          <w:rPr>
            <w:color w:val="0000EE"/>
            <w:u w:val="single"/>
          </w:rPr>
          <w:t>Actes 12:23</w:t>
        </w:r>
      </w:hyperlink>
      <w:r>
        <w:rPr>
          <w:lang w:val="fr_FR" w:bidi="fr_FR"/>
        </w:rPr>
        <w:t>). L’exécution de l’apôtre Jean et l’emprisonnement de Pierre (</w:t>
      </w:r>
      <w:hyperlink r:id="rId127">
        <w:r>
          <w:rPr>
            <w:lang w:val="fr_FR" w:bidi="fr_FR"/>
          </w:rPr>
          <w:rPr>
            <w:color w:val="0000EE"/>
            <w:u w:val="single"/>
          </w:rPr>
          <w:t>12:2–17</w:t>
        </w:r>
      </w:hyperlink>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hyperlink r:id="rId128">
        <w:r>
          <w:rPr>
            <w:lang w:val="fr_FR" w:bidi="fr_FR"/>
          </w:rPr>
          <w:rPr>
            <w:color w:val="0000EE"/>
            <w:u w:val="single"/>
          </w:rPr>
          <w:t>11:28–29</w:t>
        </w:r>
      </w:hyperlink>
      <w:r>
        <w:rPr>
          <w:lang w:val="fr_FR" w:bidi="fr_FR"/>
        </w:rPr>
        <w:t>). Lorsque l’église d’Antioche a envoyé de l’aide à celle de Jérusalem, Barnabas et Paul ont été choisis pour leur apporter l’argent (</w:t>
      </w:r>
      <w:hyperlink r:id="rId129">
        <w:r>
          <w:rPr>
            <w:lang w:val="fr_FR" w:bidi="fr_FR"/>
          </w:rPr>
          <w:rPr>
            <w:color w:val="0000EE"/>
            <w:u w:val="single"/>
          </w:rPr>
          <w:t>11:29–30</w:t>
        </w:r>
      </w:hyperlink>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hyperlink r:id="rId130">
        <w:r>
          <w:rPr>
            <w:lang w:val="fr_FR" w:bidi="fr_FR"/>
          </w:rPr>
          <w:rPr>
            <w:color w:val="0000EE"/>
            <w:u w:val="single"/>
          </w:rPr>
          <w:t>18:12</w:t>
        </w:r>
      </w:hyperlink>
      <w:r>
        <w:rPr>
          <w:lang w:val="fr_FR" w:bidi="fr_FR"/>
        </w:rPr>
        <w:t xml:space="preserve">)‌. Une inscription découverte dans la ville voisine de Delphes indique que le mandat de Gallion était de 51–52 ap. J.-C. L’incident en </w:t>
      </w:r>
      <w:hyperlink r:id="rId131">
        <w:r>
          <w:rPr>
            <w:lang w:val="fr_FR" w:bidi="fr_FR"/>
          </w:rPr>
          <w:rPr>
            <w:color w:val="0000EE"/>
            <w:u w:val="single"/>
          </w:rPr>
          <w:t>18:12–17</w:t>
        </w:r>
      </w:hyperlink>
      <w:r>
        <w:rPr>
          <w:lang w:val="fr_FR" w:bidi="fr_FR"/>
        </w:rPr>
        <w:t xml:space="preserve"> est probablement survenu au début du mandat de Gallion. Paul a quitté Corinthe peu de temps après, probablement en été ou automne 52 ap. J.-C. Il avait passé 18 mois à Corinthe (</w:t>
      </w:r>
      <w:hyperlink r:id="rId132">
        <w:r>
          <w:rPr>
            <w:lang w:val="fr_FR" w:bidi="fr_FR"/>
          </w:rPr>
          <w:rPr>
            <w:color w:val="0000EE"/>
            <w:u w:val="single"/>
          </w:rPr>
          <w:t>18:11</w:t>
        </w:r>
      </w:hyperlink>
      <w:r>
        <w:rPr>
          <w:lang w:val="fr_FR" w:bidi="fr_FR"/>
        </w:rPr>
        <w:t xml:space="preserve">), si bien qu'il est probablement arrivé début 50 ap. J.-C. Cette date d'arrivée est confirmée par </w:t>
      </w:r>
      <w:hyperlink r:id="rId72">
        <w:r>
          <w:rPr>
            <w:lang w:val="fr_FR" w:bidi="fr_FR"/>
          </w:rPr>
          <w:rPr>
            <w:color w:val="0000EE"/>
            <w:u w:val="single"/>
          </w:rPr>
          <w:t>18:2</w:t>
        </w:r>
      </w:hyperlink>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hyperlink r:id="rId133">
        <w:r>
          <w:rPr>
            <w:lang w:val="fr_FR" w:bidi="fr_FR"/>
          </w:rPr>
          <w:rPr>
            <w:color w:val="0000EE"/>
            <w:u w:val="single"/>
          </w:rPr>
          <w:t>24:27</w:t>
        </w:r>
      </w:hyperlink>
      <w:r>
        <w:rPr>
          <w:lang w:val="fr_FR" w:bidi="fr_FR"/>
        </w:rPr>
        <w:t>), probablement en été 59 ap. J.-C. Cet événement nous aide à faire la chronologie du reste du livre des Actes. L’arrestation de Paul (</w:t>
      </w:r>
      <w:hyperlink r:id="rId134">
        <w:r>
          <w:rPr>
            <w:lang w:val="fr_FR" w:bidi="fr_FR"/>
          </w:rPr>
          <w:rPr>
            <w:color w:val="0000EE"/>
            <w:u w:val="single"/>
          </w:rPr>
          <w:t>21:33</w:t>
        </w:r>
      </w:hyperlink>
      <w:r>
        <w:rPr>
          <w:lang w:val="fr_FR" w:bidi="fr_FR"/>
        </w:rPr>
        <w:t>) avait eu lieu environ deux ans auparavant (57 ap. J.-C.) Au début du printemps, Paul avait célébré la Pâque à Philippes (</w:t>
      </w:r>
      <w:hyperlink r:id="rId135">
        <w:r>
          <w:rPr>
            <w:lang w:val="fr_FR" w:bidi="fr_FR"/>
          </w:rPr>
          <w:rPr>
            <w:color w:val="0000EE"/>
            <w:u w:val="single"/>
          </w:rPr>
          <w:t>20:6</w:t>
        </w:r>
      </w:hyperlink>
      <w:r>
        <w:rPr>
          <w:lang w:val="fr_FR" w:bidi="fr_FR"/>
        </w:rPr>
        <w:t>; avril 57 ap. J.-C. Paul venait de passer trois mois en Grèce (</w:t>
      </w:r>
      <w:hyperlink r:id="rId136">
        <w:r>
          <w:rPr>
            <w:lang w:val="fr_FR" w:bidi="fr_FR"/>
          </w:rPr>
          <w:rPr>
            <w:color w:val="0000EE"/>
            <w:u w:val="single"/>
          </w:rPr>
          <w:t>20:3</w:t>
        </w:r>
      </w:hyperlink>
      <w:r>
        <w:rPr>
          <w:lang w:val="fr_FR" w:bidi="fr_FR"/>
        </w:rPr>
        <w:t xml:space="preserve">), probablement en hiver 56–57 ap. J.-C. (voir </w:t>
      </w:r>
      <w:hyperlink r:id="rId137">
        <w:r>
          <w:rPr>
            <w:lang w:val="fr_FR" w:bidi="fr_FR"/>
          </w:rPr>
          <w:rPr>
            <w:color w:val="0000EE"/>
            <w:u w:val="single"/>
          </w:rPr>
          <w:t>1 Corinthiens 16:6</w:t>
        </w:r>
      </w:hyperlink>
      <w:r>
        <w:rPr>
          <w:lang w:val="fr_FR" w:bidi="fr_FR"/>
        </w:rPr>
        <w:t>). Paul avait auparavant passé trois ans à Ephèse (</w:t>
      </w:r>
      <w:hyperlink r:id="rId138">
        <w:r>
          <w:rPr>
            <w:lang w:val="fr_FR" w:bidi="fr_FR"/>
          </w:rPr>
          <w:rPr>
            <w:color w:val="0000EE"/>
            <w:u w:val="single"/>
          </w:rPr>
          <w:t>Actes 20:31</w:t>
        </w:r>
      </w:hyperlink>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hyperlink r:id="rId139">
        <w:r>
          <w:rPr>
            <w:lang w:val="fr_FR" w:bidi="fr_FR"/>
          </w:rPr>
          <w:rPr>
            <w:color w:val="0000EE"/>
            <w:u w:val="single"/>
          </w:rPr>
          <w:t>25:1–12</w:t>
        </w:r>
      </w:hyperlink>
      <w:r>
        <w:rPr>
          <w:lang w:val="fr_FR" w:bidi="fr_FR"/>
        </w:rPr>
        <w:t>). Il est probablement parti pour Rome en été 59 ap. J.-C. (</w:t>
      </w:r>
      <w:hyperlink r:id="rId140">
        <w:r>
          <w:rPr>
            <w:lang w:val="fr_FR" w:bidi="fr_FR"/>
          </w:rPr>
          <w:rPr>
            <w:color w:val="0000EE"/>
            <w:u w:val="single"/>
          </w:rPr>
          <w:t>27:2</w:t>
        </w:r>
      </w:hyperlink>
      <w:r>
        <w:rPr>
          <w:lang w:val="fr_FR" w:bidi="fr_FR"/>
        </w:rPr>
        <w:t>) et arrivé début 60 ap. J.-C. (</w:t>
      </w:r>
      <w:hyperlink r:id="rId141">
        <w:r>
          <w:rPr>
            <w:lang w:val="fr_FR" w:bidi="fr_FR"/>
          </w:rPr>
          <w:rPr>
            <w:color w:val="0000EE"/>
            <w:u w:val="single"/>
          </w:rPr>
          <w:t>28:11–16</w:t>
        </w:r>
      </w:hyperlink>
      <w:r>
        <w:rPr>
          <w:lang w:val="fr_FR" w:bidi="fr_FR"/>
        </w:rPr>
        <w:t>). Paul est resté à Rome « deux ans entiers » (</w:t>
      </w:r>
      <w:hyperlink r:id="rId142">
        <w:r>
          <w:rPr>
            <w:lang w:val="fr_FR" w:bidi="fr_FR"/>
          </w:rPr>
          <w:rPr>
            <w:color w:val="0000EE"/>
            <w:u w:val="single"/>
          </w:rPr>
          <w:t>28:30</w:t>
        </w:r>
      </w:hyperlink>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