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hyperlink r:id="rId13">
        <w:r>
          <w:rPr>
            <w:lang w:val="pt_PT" w:bidi="pt_PT"/>
          </w:rPr>
          <w:rPr>
            <w:color w:val="0000EE"/>
            <w:u w:val="single"/>
          </w:rPr>
          <w:t>2Cr 26.11–15</w:t>
        </w:r>
      </w:hyperlink>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4">
        <w:r>
          <w:rPr>
            <w:lang w:val="pt_PT" w:bidi="pt_PT"/>
          </w:rPr>
          <w:rPr>
            <w:color w:val="0000EE"/>
            <w:u w:val="single"/>
          </w:rPr>
          <w:t>Is 6</w:t>
        </w:r>
      </w:hyperlink>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5">
        <w:r>
          <w:rPr>
            <w:lang w:val="pt_PT" w:bidi="pt_PT"/>
          </w:rPr>
          <w:rPr>
            <w:color w:val="0000EE"/>
            <w:u w:val="single"/>
          </w:rPr>
          <w:t>2Cr 28.16–21</w:t>
        </w:r>
      </w:hyperlink>
      <w:r>
        <w:rPr>
          <w:lang w:val="pt_PT" w:bidi="pt_PT"/>
        </w:rPr>
        <w:t>) em vez de confiar em Deus (</w:t>
      </w:r>
      <w:hyperlink r:id="rId16">
        <w:r>
          <w:rPr>
            <w:lang w:val="pt_PT" w:bidi="pt_PT"/>
          </w:rPr>
          <w:rPr>
            <w:color w:val="0000EE"/>
            <w:u w:val="single"/>
          </w:rPr>
          <w:t>Is 7.1–12</w:t>
        </w:r>
      </w:hyperlink>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7">
        <w:r>
          <w:rPr>
            <w:lang w:val="pt_PT" w:bidi="pt_PT"/>
          </w:rPr>
          <w:rPr>
            <w:color w:val="0000EE"/>
            <w:u w:val="single"/>
          </w:rPr>
          <w:t>2Rs 17.5–18</w:t>
        </w:r>
      </w:hyperlink>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hyperlink r:id="rId18">
        <w:r>
          <w:rPr>
            <w:lang w:val="pt_PT" w:bidi="pt_PT"/>
          </w:rPr>
          <w:rPr>
            <w:color w:val="0000EE"/>
            <w:u w:val="single"/>
          </w:rPr>
          <w:t>37.21–36</w:t>
        </w:r>
      </w:hyperlink>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hyperlink r:id="rId19">
        <w:r>
          <w:rPr>
            <w:lang w:val="pt_PT" w:bidi="pt_PT"/>
          </w:rPr>
          <w:rPr>
            <w:color w:val="0000EE"/>
            <w:u w:val="single"/>
          </w:rPr>
          <w:t>Esdras 1.1–4</w:t>
        </w:r>
      </w:hyperlink>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hyperlink r:id="rId20">
        <w:r>
          <w:rPr>
            <w:lang w:val="pt_PT" w:bidi="pt_PT"/>
          </w:rPr>
          <w:rPr>
            <w:color w:val="0000EE"/>
            <w:u w:val="single"/>
          </w:rPr>
          <w:t>Isaías 1–39</w:t>
        </w:r>
      </w:hyperlink>
      <w:r>
        <w:rPr>
          <w:lang w:val="pt_PT" w:bidi="pt_PT"/>
        </w:rPr>
        <w:t xml:space="preserve"> cobre o período que vai desde a morte de Uzias (740 a.C.) até 701 a.C. A introdução (</w:t>
      </w:r>
      <w:hyperlink r:id="rId21">
        <w:r>
          <w:rPr>
            <w:lang w:val="pt_PT" w:bidi="pt_PT"/>
          </w:rPr>
          <w:rPr>
            <w:color w:val="0000EE"/>
            <w:u w:val="single"/>
          </w:rPr>
          <w:t>caps. 1–5</w:t>
        </w:r>
      </w:hyperlink>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4">
        <w:r>
          <w:rPr>
            <w:lang w:val="pt_PT" w:bidi="pt_PT"/>
          </w:rPr>
          <w:rPr>
            <w:color w:val="0000EE"/>
            <w:u w:val="single"/>
          </w:rPr>
          <w:t>capítulo 6</w:t>
        </w:r>
      </w:hyperlink>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2">
        <w:r>
          <w:rPr>
            <w:lang w:val="pt_PT" w:bidi="pt_PT"/>
          </w:rPr>
          <w:rPr>
            <w:color w:val="0000EE"/>
            <w:u w:val="single"/>
          </w:rPr>
          <w:t>capítulos 13–35</w:t>
        </w:r>
      </w:hyperlink>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3">
        <w:r>
          <w:rPr>
            <w:lang w:val="pt_PT" w:bidi="pt_PT"/>
          </w:rPr>
          <w:rPr>
            <w:color w:val="0000EE"/>
            <w:u w:val="single"/>
          </w:rPr>
          <w:t>capítulos 7–12</w:t>
        </w:r>
      </w:hyperlink>
      <w:r>
        <w:rPr>
          <w:lang w:val="pt_PT" w:bidi="pt_PT"/>
        </w:rPr>
        <w:t xml:space="preserve">, e a do rei Ezequias nos </w:t>
      </w:r>
      <w:hyperlink r:id="rId24">
        <w:r>
          <w:rPr>
            <w:lang w:val="pt_PT" w:bidi="pt_PT"/>
          </w:rPr>
          <w:rPr>
            <w:color w:val="0000EE"/>
            <w:u w:val="single"/>
          </w:rPr>
          <w:t>capítulos 36–39</w:t>
        </w:r>
      </w:hyperlink>
      <w:r>
        <w:rPr>
          <w:lang w:val="pt_PT" w:bidi="pt_PT"/>
        </w:rPr>
        <w:t>. Quando Acaz falhou em confiar em Deus, o resultado foi um desastre. Em contraste, seu filho Ezequias confiou em Deus, e um grande resgate ocorreu. Ezequias, no entanto, também teve tempos de fraqueza (</w:t>
      </w:r>
      <w:hyperlink r:id="rId25">
        <w:r>
          <w:rPr>
            <w:lang w:val="pt_PT" w:bidi="pt_PT"/>
          </w:rPr>
          <w:rPr>
            <w:color w:val="0000EE"/>
            <w:u w:val="single"/>
          </w:rPr>
          <w:t>capítulo 39</w:t>
        </w:r>
      </w:hyperlink>
      <w:r>
        <w:rPr>
          <w:lang w:val="pt_PT" w:bidi="pt_PT"/>
        </w:rPr>
        <w:t>), Estabelecendo o contexto para a derrota e o exílio posterior de Judá pela Babilônia.</w:t>
      </w:r>
    </w:p>
    <w:p>
      <w:pPr/>
      <w:r>
        <w:rPr>
          <w:lang w:val="pt_PT" w:bidi="pt_PT"/>
        </w:rPr>
      </w:r>
      <w:hyperlink r:id="rId26">
        <w:r>
          <w:rPr>
            <w:lang w:val="pt_PT" w:bidi="pt_PT"/>
          </w:rPr>
          <w:rPr>
            <w:color w:val="0000EE"/>
            <w:u w:val="single"/>
          </w:rPr>
          <w:t>Isaías 40–55</w:t>
        </w:r>
      </w:hyperlink>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7">
        <w:r>
          <w:rPr>
            <w:lang w:val="pt_PT" w:bidi="pt_PT"/>
          </w:rPr>
          <w:rPr>
            <w:color w:val="0000EE"/>
            <w:u w:val="single"/>
          </w:rPr>
          <w:t>capítulos 40–48</w:t>
        </w:r>
      </w:hyperlink>
      <w:r>
        <w:rPr>
          <w:lang w:val="pt_PT" w:bidi="pt_PT"/>
        </w:rPr>
        <w:t xml:space="preserve">, Isaías mostra que Deus é infinitamente superior a qualquer ídolo, e seu povo será a prova disso quando Deus os resgatar finalmente das mãos impotentes da Babilônia. Nos </w:t>
      </w:r>
      <w:hyperlink r:id="rId28">
        <w:r>
          <w:rPr>
            <w:lang w:val="pt_PT" w:bidi="pt_PT"/>
          </w:rPr>
          <w:rPr>
            <w:color w:val="0000EE"/>
            <w:u w:val="single"/>
          </w:rPr>
          <w:t>capítulos 49–55</w:t>
        </w:r>
      </w:hyperlink>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hyperlink r:id="rId29">
        <w:r>
          <w:rPr>
            <w:lang w:val="pt_PT" w:bidi="pt_PT"/>
          </w:rPr>
          <w:rPr>
            <w:color w:val="0000EE"/>
            <w:u w:val="single"/>
          </w:rPr>
          <w:t>Isaías 56–66</w:t>
        </w:r>
      </w:hyperlink>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0">
        <w:r>
          <w:rPr>
            <w:lang w:val="pt_PT" w:bidi="pt_PT"/>
          </w:rPr>
          <w:rPr>
            <w:color w:val="0000EE"/>
            <w:u w:val="single"/>
          </w:rPr>
          <w:t>Mt 8.17</w:t>
        </w:r>
      </w:hyperlink>
      <w:r>
        <w:rPr>
          <w:lang w:val="pt_PT" w:bidi="pt_PT"/>
        </w:rPr>
        <w:t xml:space="preserve">; </w:t>
      </w:r>
      <w:hyperlink r:id="rId31">
        <w:r>
          <w:rPr>
            <w:lang w:val="pt_PT" w:bidi="pt_PT"/>
          </w:rPr>
          <w:rPr>
            <w:color w:val="0000EE"/>
            <w:u w:val="single"/>
          </w:rPr>
          <w:t>12.17–21</w:t>
        </w:r>
      </w:hyperlink>
      <w:r>
        <w:rPr>
          <w:lang w:val="pt_PT" w:bidi="pt_PT"/>
        </w:rPr>
        <w:t xml:space="preserve">; </w:t>
      </w:r>
      <w:hyperlink r:id="rId32">
        <w:r>
          <w:rPr>
            <w:lang w:val="pt_PT" w:bidi="pt_PT"/>
          </w:rPr>
          <w:rPr>
            <w:color w:val="0000EE"/>
            <w:u w:val="single"/>
          </w:rPr>
          <w:t>Lucas 3.4–6</w:t>
        </w:r>
      </w:hyperlink>
      <w:r>
        <w:rPr>
          <w:lang w:val="pt_PT" w:bidi="pt_PT"/>
        </w:rPr>
        <w:t xml:space="preserve">; </w:t>
      </w:r>
      <w:hyperlink r:id="rId33">
        <w:r>
          <w:rPr>
            <w:lang w:val="pt_PT" w:bidi="pt_PT"/>
          </w:rPr>
          <w:rPr>
            <w:color w:val="0000EE"/>
            <w:u w:val="single"/>
          </w:rPr>
          <w:t>Atos 8.28–35</w:t>
        </w:r>
      </w:hyperlink>
      <w:r>
        <w:rPr>
          <w:lang w:val="pt_PT" w:bidi="pt_PT"/>
        </w:rPr>
        <w:t xml:space="preserve">; </w:t>
      </w:r>
      <w:hyperlink r:id="rId34">
        <w:r>
          <w:rPr>
            <w:lang w:val="pt_PT" w:bidi="pt_PT"/>
          </w:rPr>
          <w:rPr>
            <w:color w:val="0000EE"/>
            <w:u w:val="single"/>
          </w:rPr>
          <w:t>Rm 10.16</w:t>
        </w:r>
      </w:hyperlink>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hyperlink r:id="rId35">
        <w:r>
          <w:rPr>
            <w:lang w:val="pt_PT" w:bidi="pt_PT"/>
          </w:rPr>
          <w:rPr>
            <w:color w:val="0000EE"/>
            <w:u w:val="single"/>
          </w:rPr>
          <w:t>capítulos 6–39</w:t>
        </w:r>
      </w:hyperlink>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6">
        <w:r>
          <w:rPr>
            <w:lang w:val="pt_PT" w:bidi="pt_PT"/>
          </w:rPr>
          <w:rPr>
            <w:color w:val="0000EE"/>
            <w:u w:val="single"/>
          </w:rPr>
          <w:t>capítulos 40–66</w:t>
        </w:r>
      </w:hyperlink>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0">
        <w:r>
          <w:rPr>
            <w:lang w:val="pt_PT" w:bidi="pt_PT"/>
          </w:rPr>
          <w:rPr>
            <w:color w:val="0000EE"/>
            <w:u w:val="single"/>
          </w:rPr>
          <w:t>capítulos 1–39</w:t>
        </w:r>
      </w:hyperlink>
      <w:r>
        <w:rPr>
          <w:lang w:val="pt_PT" w:bidi="pt_PT"/>
        </w:rPr>
        <w:t xml:space="preserve"> e a escrita dos </w:t>
      </w:r>
      <w:hyperlink r:id="rId36">
        <w:r>
          <w:rPr>
            <w:lang w:val="pt_PT" w:bidi="pt_PT"/>
          </w:rPr>
          <w:rPr>
            <w:color w:val="0000EE"/>
            <w:u w:val="single"/>
          </w:rPr>
          <w:t>capítulos 40–66</w:t>
        </w:r>
      </w:hyperlink>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hyperlink r:id="rId37">
        <w:r>
          <w:rPr>
            <w:lang w:val="pt_PT" w:bidi="pt_PT"/>
          </w:rPr>
          <w:rPr>
            <w:color w:val="0000EE"/>
            <w:u w:val="single"/>
          </w:rPr>
          <w:t>9.8–21</w:t>
        </w:r>
      </w:hyperlink>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hyperlink r:id="rId38">
        <w:r>
          <w:rPr>
            <w:lang w:val="pt_PT" w:bidi="pt_PT"/>
          </w:rPr>
          <w:rPr>
            <w:color w:val="0000EE"/>
            <w:u w:val="single"/>
          </w:rPr>
          <w:t>5.8–30</w:t>
        </w:r>
      </w:hyperlink>
      <w:r>
        <w:rPr>
          <w:lang w:val="pt_PT" w:bidi="pt_PT"/>
        </w:rPr>
        <w:t xml:space="preserve">; </w:t>
      </w:r>
      <w:hyperlink r:id="rId39">
        <w:r>
          <w:rPr>
            <w:lang w:val="pt_PT" w:bidi="pt_PT"/>
          </w:rPr>
          <w:rPr>
            <w:color w:val="0000EE"/>
            <w:u w:val="single"/>
          </w:rPr>
          <w:t>29.1–12</w:t>
        </w:r>
      </w:hyperlink>
      <w:r>
        <w:rPr>
          <w:lang w:val="pt_PT" w:bidi="pt_PT"/>
        </w:rPr>
        <w:t xml:space="preserve">; </w:t>
      </w:r>
      <w:hyperlink r:id="rId40">
        <w:r>
          <w:rPr>
            <w:lang w:val="pt_PT" w:bidi="pt_PT"/>
          </w:rPr>
          <w:rPr>
            <w:color w:val="0000EE"/>
            <w:u w:val="single"/>
          </w:rPr>
          <w:t>31.1–9</w:t>
        </w:r>
      </w:hyperlink>
      <w:r>
        <w:rPr>
          <w:lang w:val="pt_PT" w:bidi="pt_PT"/>
        </w:rPr>
        <w:t>);</w:t>
      </w:r>
    </w:p>
    <w:p>
      <w:pPr>
        <w:pStyle w:val="ListBullet"/>
        <w:spacing w:line="240" w:lineRule="auto"/>
        <w:ind w:left="720"/>
      </w:pPr>
      <w:r>
        <w:rPr>
          <w:lang w:val="pt_PT" w:bidi="pt_PT"/>
        </w:rPr>
      </w:r>
      <w:r>
        <w:rPr>
          <w:lang w:val="pt_PT" w:bidi="pt_PT"/>
        </w:rPr>
        <w:t>parábolas que ensinam por analogia (</w:t>
      </w:r>
      <w:hyperlink r:id="rId41">
        <w:r>
          <w:rPr>
            <w:lang w:val="pt_PT" w:bidi="pt_PT"/>
          </w:rPr>
          <w:rPr>
            <w:color w:val="0000EE"/>
            <w:u w:val="single"/>
          </w:rPr>
          <w:t>5.1–8</w:t>
        </w:r>
      </w:hyperlink>
      <w:r>
        <w:rPr>
          <w:lang w:val="pt_PT" w:bidi="pt_PT"/>
        </w:rPr>
        <w:t xml:space="preserve">; </w:t>
      </w:r>
      <w:hyperlink r:id="rId42">
        <w:r>
          <w:rPr>
            <w:lang w:val="pt_PT" w:bidi="pt_PT"/>
          </w:rPr>
          <w:rPr>
            <w:color w:val="0000EE"/>
            <w:u w:val="single"/>
          </w:rPr>
          <w:t>27.2–6</w:t>
        </w:r>
      </w:hyperlink>
      <w:r>
        <w:rPr>
          <w:lang w:val="pt_PT" w:bidi="pt_PT"/>
        </w:rPr>
        <w:t>);</w:t>
      </w:r>
    </w:p>
    <w:p>
      <w:pPr>
        <w:pStyle w:val="ListBullet"/>
        <w:spacing w:line="240" w:lineRule="auto"/>
        <w:ind w:left="720"/>
      </w:pPr>
      <w:r>
        <w:rPr>
          <w:lang w:val="pt_PT" w:bidi="pt_PT"/>
        </w:rPr>
      </w:r>
      <w:r>
        <w:rPr>
          <w:lang w:val="pt_PT" w:bidi="pt_PT"/>
        </w:rPr>
        <w:t>declarações de julgamento para provar um caso (</w:t>
      </w:r>
      <w:hyperlink r:id="rId43">
        <w:r>
          <w:rPr>
            <w:lang w:val="pt_PT" w:bidi="pt_PT"/>
          </w:rPr>
          <w:rPr>
            <w:color w:val="0000EE"/>
            <w:u w:val="single"/>
          </w:rPr>
          <w:t>41.21–29</w:t>
        </w:r>
      </w:hyperlink>
      <w:r>
        <w:rPr>
          <w:lang w:val="pt_PT" w:bidi="pt_PT"/>
        </w:rPr>
        <w:t>);</w:t>
      </w:r>
    </w:p>
    <w:p>
      <w:pPr>
        <w:pStyle w:val="ListBullet"/>
        <w:spacing w:line="240" w:lineRule="auto"/>
        <w:ind w:left="720"/>
      </w:pPr>
      <w:r>
        <w:rPr>
          <w:lang w:val="pt_PT" w:bidi="pt_PT"/>
        </w:rPr>
      </w:r>
      <w:r>
        <w:rPr>
          <w:lang w:val="pt_PT" w:bidi="pt_PT"/>
        </w:rPr>
        <w:t>profecias salvíficas de esperança para o futuro (</w:t>
      </w:r>
      <w:hyperlink r:id="rId44">
        <w:r>
          <w:rPr>
            <w:lang w:val="pt_PT" w:bidi="pt_PT"/>
          </w:rPr>
          <w:rPr>
            <w:color w:val="0000EE"/>
            <w:u w:val="single"/>
          </w:rPr>
          <w:t>2.1–5</w:t>
        </w:r>
      </w:hyperlink>
      <w:r>
        <w:rPr>
          <w:lang w:val="pt_PT" w:bidi="pt_PT"/>
        </w:rPr>
        <w:t xml:space="preserve">; </w:t>
      </w:r>
      <w:hyperlink r:id="rId45">
        <w:r>
          <w:rPr>
            <w:lang w:val="pt_PT" w:bidi="pt_PT"/>
          </w:rPr>
          <w:rPr>
            <w:color w:val="0000EE"/>
            <w:u w:val="single"/>
          </w:rPr>
          <w:t>32.1–20</w:t>
        </w:r>
      </w:hyperlink>
      <w:r>
        <w:rPr>
          <w:lang w:val="pt_PT" w:bidi="pt_PT"/>
        </w:rPr>
        <w:t xml:space="preserve">; </w:t>
      </w:r>
      <w:hyperlink r:id="rId46">
        <w:r>
          <w:rPr>
            <w:lang w:val="pt_PT" w:bidi="pt_PT"/>
          </w:rPr>
          <w:rPr>
            <w:color w:val="0000EE"/>
            <w:u w:val="single"/>
          </w:rPr>
          <w:t>60.1–22</w:t>
        </w:r>
      </w:hyperlink>
      <w:r>
        <w:rPr>
          <w:lang w:val="pt_PT" w:bidi="pt_PT"/>
        </w:rPr>
        <w:t>);</w:t>
      </w:r>
    </w:p>
    <w:p>
      <w:pPr>
        <w:pStyle w:val="ListBullet"/>
        <w:spacing w:line="240" w:lineRule="auto"/>
        <w:ind w:left="720"/>
      </w:pPr>
      <w:r>
        <w:rPr>
          <w:lang w:val="pt_PT" w:bidi="pt_PT"/>
        </w:rPr>
      </w:r>
      <w:r>
        <w:rPr>
          <w:lang w:val="pt_PT" w:bidi="pt_PT"/>
        </w:rPr>
        <w:t>hinos de louvor a Deus por sua fidelidade (</w:t>
      </w:r>
      <w:hyperlink r:id="rId47">
        <w:r>
          <w:rPr>
            <w:lang w:val="pt_PT" w:bidi="pt_PT"/>
          </w:rPr>
          <w:rPr>
            <w:color w:val="0000EE"/>
            <w:u w:val="single"/>
          </w:rPr>
          <w:t>12.1–6</w:t>
        </w:r>
      </w:hyperlink>
      <w:r>
        <w:rPr>
          <w:lang w:val="pt_PT" w:bidi="pt_PT"/>
        </w:rPr>
        <w:t xml:space="preserve">; </w:t>
      </w:r>
      <w:hyperlink r:id="rId48">
        <w:r>
          <w:rPr>
            <w:lang w:val="pt_PT" w:bidi="pt_PT"/>
          </w:rPr>
          <w:rPr>
            <w:color w:val="0000EE"/>
            <w:u w:val="single"/>
          </w:rPr>
          <w:t>26.1–6</w:t>
        </w:r>
      </w:hyperlink>
      <w:r>
        <w:rPr>
          <w:lang w:val="pt_PT" w:bidi="pt_PT"/>
        </w:rPr>
        <w:t>);</w:t>
      </w:r>
    </w:p>
    <w:p>
      <w:pPr>
        <w:pStyle w:val="ListBullet"/>
        <w:spacing w:line="240" w:lineRule="auto"/>
        <w:ind w:left="720"/>
      </w:pPr>
      <w:r>
        <w:rPr>
          <w:lang w:val="pt_PT" w:bidi="pt_PT"/>
        </w:rPr>
      </w:r>
      <w:r>
        <w:rPr>
          <w:lang w:val="pt_PT" w:bidi="pt_PT"/>
        </w:rPr>
        <w:t>profecias contra nações estrangeiras (</w:t>
      </w:r>
      <w:hyperlink r:id="rId49">
        <w:r>
          <w:rPr>
            <w:lang w:val="pt_PT" w:bidi="pt_PT"/>
          </w:rPr>
          <w:rPr>
            <w:color w:val="0000EE"/>
            <w:u w:val="single"/>
          </w:rPr>
          <w:t>15.1–16.14</w:t>
        </w:r>
      </w:hyperlink>
      <w:r>
        <w:rPr>
          <w:lang w:val="pt_PT" w:bidi="pt_PT"/>
        </w:rPr>
        <w:t xml:space="preserve">; </w:t>
      </w:r>
      <w:hyperlink r:id="rId50">
        <w:r>
          <w:rPr>
            <w:lang w:val="pt_PT" w:bidi="pt_PT"/>
          </w:rPr>
          <w:rPr>
            <w:color w:val="0000EE"/>
            <w:u w:val="single"/>
          </w:rPr>
          <w:t>23.1–18</w:t>
        </w:r>
      </w:hyperlink>
      <w:r>
        <w:rPr>
          <w:lang w:val="pt_PT" w:bidi="pt_PT"/>
        </w:rPr>
        <w:t>);</w:t>
      </w:r>
    </w:p>
    <w:p>
      <w:pPr>
        <w:pStyle w:val="ListBullet"/>
        <w:spacing w:line="240" w:lineRule="auto"/>
        <w:ind w:left="720"/>
      </w:pPr>
      <w:r>
        <w:rPr>
          <w:lang w:val="pt_PT" w:bidi="pt_PT"/>
        </w:rPr>
      </w:r>
      <w:r>
        <w:rPr>
          <w:lang w:val="pt_PT" w:bidi="pt_PT"/>
        </w:rPr>
        <w:t>profecias de um rei que vem, o Messias (</w:t>
      </w:r>
      <w:hyperlink r:id="rId51">
        <w:r>
          <w:rPr>
            <w:lang w:val="pt_PT" w:bidi="pt_PT"/>
          </w:rPr>
          <w:rPr>
            <w:color w:val="0000EE"/>
            <w:u w:val="single"/>
          </w:rPr>
          <w:t>9.1–7</w:t>
        </w:r>
      </w:hyperlink>
      <w:r>
        <w:rPr>
          <w:lang w:val="pt_PT" w:bidi="pt_PT"/>
        </w:rPr>
        <w:t xml:space="preserve">; </w:t>
      </w:r>
      <w:hyperlink r:id="rId52">
        <w:r>
          <w:rPr>
            <w:lang w:val="pt_PT" w:bidi="pt_PT"/>
          </w:rPr>
          <w:rPr>
            <w:color w:val="0000EE"/>
            <w:u w:val="single"/>
          </w:rPr>
          <w:t>11.1–9</w:t>
        </w:r>
      </w:hyperlink>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hyperlink r:id="rId53">
        <w:r>
          <w:rPr>
            <w:lang w:val="pt_PT" w:bidi="pt_PT"/>
          </w:rPr>
          <w:rPr>
            <w:color w:val="0000EE"/>
            <w:u w:val="single"/>
          </w:rPr>
          <w:t>42.1–9</w:t>
        </w:r>
      </w:hyperlink>
      <w:r>
        <w:rPr>
          <w:lang w:val="pt_PT" w:bidi="pt_PT"/>
        </w:rPr>
        <w:t xml:space="preserve">; </w:t>
      </w:r>
      <w:hyperlink r:id="rId54">
        <w:r>
          <w:rPr>
            <w:lang w:val="pt_PT" w:bidi="pt_PT"/>
          </w:rPr>
          <w:rPr>
            <w:color w:val="0000EE"/>
            <w:u w:val="single"/>
          </w:rPr>
          <w:t>52.13–53.12</w:t>
        </w:r>
      </w:hyperlink>
      <w:r>
        <w:rPr>
          <w:lang w:val="pt_PT" w:bidi="pt_PT"/>
        </w:rPr>
        <w:t>); e</w:t>
      </w:r>
    </w:p>
    <w:p>
      <w:pPr>
        <w:pStyle w:val="ListBullet"/>
        <w:spacing w:line="240" w:lineRule="auto"/>
        <w:ind w:left="720"/>
      </w:pPr>
      <w:r>
        <w:rPr>
          <w:lang w:val="pt_PT" w:bidi="pt_PT"/>
        </w:rPr>
      </w:r>
      <w:r>
        <w:rPr>
          <w:lang w:val="pt_PT" w:bidi="pt_PT"/>
        </w:rPr>
        <w:t>narrativas de eventos atuais da época (</w:t>
      </w:r>
      <w:hyperlink r:id="rId55">
        <w:r>
          <w:rPr>
            <w:lang w:val="pt_PT" w:bidi="pt_PT"/>
          </w:rPr>
          <w:rPr>
            <w:color w:val="0000EE"/>
            <w:u w:val="single"/>
          </w:rPr>
          <w:t>36.1–22</w:t>
        </w:r>
      </w:hyperlink>
      <w:r>
        <w:rPr>
          <w:lang w:val="pt_PT" w:bidi="pt_PT"/>
        </w:rPr>
        <w:t xml:space="preserve">; </w:t>
      </w:r>
      <w:hyperlink r:id="rId25">
        <w:r>
          <w:rPr>
            <w:lang w:val="pt_PT" w:bidi="pt_PT"/>
          </w:rPr>
          <w:rPr>
            <w:color w:val="0000EE"/>
            <w:u w:val="single"/>
          </w:rPr>
          <w:t>39.1–8</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hyperlink r:id="rId56">
        <w:r>
          <w:rPr>
            <w:lang w:val="pt_PT" w:bidi="pt_PT"/>
          </w:rPr>
          <w:rPr>
            <w:color w:val="0000EE"/>
            <w:u w:val="single"/>
          </w:rPr>
          <w:t>7.14</w:t>
        </w:r>
      </w:hyperlink>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hyperlink r:id="rId57">
        <w:r>
          <w:rPr>
            <w:lang w:val="pt_PT" w:bidi="pt_PT"/>
          </w:rPr>
          <w:rPr>
            <w:color w:val="0000EE"/>
            <w:u w:val="single"/>
          </w:rPr>
          <w:t>Mt 1.21–23</w:t>
        </w:r>
      </w:hyperlink>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