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lang w:val="ar_AE" w:bidi="ar_AE"/>
        </w:rPr>
        <w:t>أحداث وخلفية السِفر</w:t>
      </w:r>
    </w:p>
    <w:p>
      <w:pPr>
        <w:bidi/>
      </w:pPr>
      <w:r>
        <w:rPr>
          <w:lang w:val="ar_AE" w:bidi="ar_AE"/>
        </w:rPr>
      </w:r>
      <w:r>
        <w:rPr>
          <w:lang w:val="ar_AE" w:bidi="ar_AE"/>
        </w:rPr>
        <w:t xml:space="preserve">كان شعب أدوم من نسل عيسو شقيق يعقوب (انظر </w:t>
      </w:r>
      <w:hyperlink r:id="rId13">
        <w:r>
          <w:rPr>
            <w:lang w:val="ar_AE" w:bidi="ar_AE"/>
          </w:rPr>
          <w:rPr>
            <w:color w:val="0000EE"/>
            <w:u w:val="single"/>
          </w:rPr>
          <w:t>تكوين 25:30</w:t>
        </w:r>
      </w:hyperlink>
      <w:r>
        <w:rPr>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4">
        <w:r>
          <w:rPr>
            <w:lang w:val="ar_AE" w:bidi="ar_AE"/>
          </w:rPr>
          <w:rPr>
            <w:color w:val="0000EE"/>
            <w:u w:val="single"/>
          </w:rPr>
          <w:t>صموئيل الثاني 8:14؛</w:t>
        </w:r>
      </w:hyperlink>
      <w:r>
        <w:rPr>
          <w:lang w:val="ar_AE" w:bidi="ar_AE"/>
        </w:rPr>
        <w:t xml:space="preserve"> </w:t>
      </w:r>
      <w:hyperlink r:id="rId15">
        <w:r>
          <w:rPr>
            <w:lang w:val="ar_AE" w:bidi="ar_AE"/>
          </w:rPr>
          <w:rPr>
            <w:color w:val="0000EE"/>
            <w:u w:val="single"/>
          </w:rPr>
          <w:t>ملوك الأول 11:14–16؛</w:t>
        </w:r>
      </w:hyperlink>
      <w:r>
        <w:rPr>
          <w:lang w:val="ar_AE" w:bidi="ar_AE"/>
        </w:rPr>
        <w:t xml:space="preserve"> </w:t>
      </w:r>
      <w:hyperlink r:id="rId16">
        <w:r>
          <w:rPr>
            <w:lang w:val="ar_AE" w:bidi="ar_AE"/>
          </w:rPr>
          <w:rPr>
            <w:color w:val="0000EE"/>
            <w:u w:val="single"/>
          </w:rPr>
          <w:t>ملوك الثاني 8:20–22؛</w:t>
        </w:r>
      </w:hyperlink>
      <w:r>
        <w:rPr>
          <w:lang w:val="ar_AE" w:bidi="ar_AE"/>
        </w:rPr>
        <w:t xml:space="preserve"> قارن </w:t>
      </w:r>
      <w:hyperlink r:id="rId17">
        <w:r>
          <w:rPr>
            <w:lang w:val="ar_AE" w:bidi="ar_AE"/>
          </w:rPr>
          <w:rPr>
            <w:color w:val="0000EE"/>
            <w:u w:val="single"/>
          </w:rPr>
          <w:t>ملوك الثاني 3:9–14</w:t>
        </w:r>
      </w:hyperlink>
      <w:r>
        <w:rPr>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lang w:val="ar_AE" w:bidi="ar_AE"/>
        </w:rPr>
        <w:t>أدوميّة،</w:t>
      </w:r>
      <w:r>
        <w:rPr>
          <w:lang w:val="ar_AE" w:bidi="ar_AE"/>
        </w:rPr>
        <w:t xml:space="preserve"> وكان أشهر مواطنيها هيرودس الكبير، الذي أطلق على نفسه لقب "ملِك اليهود".</w:t>
      </w:r>
    </w:p>
    <w:p>
      <w:pPr>
        <w:bidi/>
      </w:pPr>
      <w:r>
        <w:rPr>
          <w:lang w:val="ar_AE" w:bidi="ar_AE"/>
        </w:rPr>
      </w:r>
      <w:r>
        <w:rPr>
          <w:lang w:val="ar_AE" w:bidi="ar_AE"/>
        </w:rPr>
        <w:t>كأُمة، أعاد أدوم إحياء العداء القديم لعيسو تجاه يعقوب. على سبيل المثال، عارض أدوم خروج إسرائيل من مصر (</w:t>
      </w:r>
      <w:hyperlink r:id="rId18">
        <w:r>
          <w:rPr>
            <w:lang w:val="ar_AE" w:bidi="ar_AE"/>
          </w:rPr>
          <w:rPr>
            <w:color w:val="0000EE"/>
            <w:u w:val="single"/>
          </w:rPr>
          <w:t>عدد 20:14–21؛</w:t>
        </w:r>
      </w:hyperlink>
      <w:r>
        <w:rPr>
          <w:lang w:val="ar_AE" w:bidi="ar_AE"/>
        </w:rPr>
        <w:t xml:space="preserve"> </w:t>
      </w:r>
      <w:hyperlink r:id="rId19">
        <w:r>
          <w:rPr>
            <w:lang w:val="ar_AE" w:bidi="ar_AE"/>
          </w:rPr>
          <w:rPr>
            <w:color w:val="0000EE"/>
            <w:u w:val="single"/>
          </w:rPr>
          <w:t>21:4</w:t>
        </w:r>
      </w:hyperlink>
      <w:r>
        <w:rPr>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lang w:val="ar_AE" w:bidi="ar_AE"/>
        </w:rPr>
        <w:t>الخُلاصة</w:t>
      </w:r>
    </w:p>
    <w:p>
      <w:pPr>
        <w:bidi/>
      </w:pPr>
      <w:r>
        <w:rPr>
          <w:lang w:val="ar_AE" w:bidi="ar_AE"/>
        </w:rPr>
      </w:r>
      <w:r>
        <w:rPr>
          <w:lang w:val="ar_AE" w:bidi="ar_AE"/>
        </w:rPr>
        <w:t>يتناول عوبديا موضوعَين مترابطَين: تدمير أدوم وتبرير واسترداد يهوذا.</w:t>
      </w:r>
    </w:p>
    <w:p>
      <w:pPr>
        <w:bidi/>
      </w:pPr>
      <w:r>
        <w:rPr>
          <w:lang w:val="ar_AE" w:bidi="ar_AE"/>
        </w:rPr>
      </w:r>
      <w:r>
        <w:rPr>
          <w:lang w:val="ar_AE" w:bidi="ar_AE"/>
        </w:rPr>
        <w:t>في مقدمة عوبديا (</w:t>
      </w:r>
      <w:hyperlink r:id="rId20">
        <w:r>
          <w:rPr>
            <w:lang w:val="ar_AE" w:bidi="ar_AE"/>
          </w:rPr>
          <w:rPr>
            <w:color w:val="0000EE"/>
            <w:u w:val="single"/>
          </w:rPr>
          <w:t>1:1–9</w:t>
        </w:r>
      </w:hyperlink>
      <w:r>
        <w:rPr>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lang w:val="ar_AE" w:bidi="ar_AE"/>
        </w:rPr>
      </w:r>
      <w:r>
        <w:rPr>
          <w:lang w:val="ar_AE" w:bidi="ar_AE"/>
        </w:rPr>
        <w:t>يوضح القسم الثاني (</w:t>
      </w:r>
      <w:hyperlink r:id="rId21">
        <w:r>
          <w:rPr>
            <w:lang w:val="ar_AE" w:bidi="ar_AE"/>
          </w:rPr>
          <w:rPr>
            <w:color w:val="0000EE"/>
            <w:u w:val="single"/>
          </w:rPr>
          <w:t>1:10–14</w:t>
        </w:r>
      </w:hyperlink>
      <w:r>
        <w:rPr>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lang w:val="ar_AE" w:bidi="ar_AE"/>
        </w:rPr>
      </w:r>
      <w:r>
        <w:rPr>
          <w:lang w:val="ar_AE" w:bidi="ar_AE"/>
        </w:rPr>
        <w:t>في القسم الثالث والأخير (</w:t>
      </w:r>
      <w:hyperlink r:id="rId22">
        <w:r>
          <w:rPr>
            <w:lang w:val="ar_AE" w:bidi="ar_AE"/>
          </w:rPr>
          <w:rPr>
            <w:color w:val="0000EE"/>
            <w:u w:val="single"/>
          </w:rPr>
          <w:t>1:15–21</w:t>
        </w:r>
      </w:hyperlink>
      <w:r>
        <w:rPr>
          <w:lang w:val="ar_AE" w:bidi="ar_AE"/>
        </w:rPr>
        <w:t>)، يتخيل عوبديا يومًا آتيًا للربّ، الذي سيُتوج بمملكة عالمية تنتمي إلى الله. أولئك الذين يرتكبون الشر سيواجهون عواقب وخيمة (</w:t>
      </w:r>
      <w:hyperlink r:id="rId23">
        <w:r>
          <w:rPr>
            <w:lang w:val="ar_AE" w:bidi="ar_AE"/>
          </w:rPr>
          <w:rPr>
            <w:color w:val="0000EE"/>
            <w:u w:val="single"/>
          </w:rPr>
          <w:t>1:15–16</w:t>
        </w:r>
      </w:hyperlink>
      <w:r>
        <w:rPr>
          <w:lang w:val="ar_AE" w:bidi="ar_AE"/>
        </w:rPr>
        <w:t>)، وأولئك الذين تعرَّضوا للظلم سيُنصفون (</w:t>
      </w:r>
      <w:hyperlink r:id="rId24">
        <w:r>
          <w:rPr>
            <w:lang w:val="ar_AE" w:bidi="ar_AE"/>
          </w:rPr>
          <w:rPr>
            <w:color w:val="0000EE"/>
            <w:u w:val="single"/>
          </w:rPr>
          <w:t>1:17–21</w:t>
        </w:r>
      </w:hyperlink>
      <w:r>
        <w:rPr>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lang w:val="ar_AE" w:bidi="ar_AE"/>
        </w:rPr>
        <w:t>الكاتب والتاريخ</w:t>
      </w:r>
    </w:p>
    <w:p>
      <w:pPr>
        <w:bidi/>
      </w:pPr>
      <w:r>
        <w:rPr>
          <w:lang w:val="ar_AE" w:bidi="ar_AE"/>
        </w:rPr>
      </w:r>
      <w:r>
        <w:rPr>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5">
        <w:r>
          <w:rPr>
            <w:lang w:val="ar_AE" w:bidi="ar_AE"/>
          </w:rPr>
          <w:rPr>
            <w:color w:val="0000EE"/>
            <w:u w:val="single"/>
          </w:rPr>
          <w:t>1 ملوك 18:3–16</w:t>
        </w:r>
      </w:hyperlink>
      <w:r>
        <w:rPr>
          <w:lang w:val="ar_AE" w:bidi="ar_AE"/>
        </w:rPr>
        <w:t>).</w:t>
      </w:r>
    </w:p>
    <w:p>
      <w:pPr>
        <w:bidi/>
      </w:pPr>
      <w:r>
        <w:rPr>
          <w:lang w:val="ar_AE" w:bidi="ar_AE"/>
        </w:rPr>
      </w:r>
      <w:r>
        <w:rPr>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6">
        <w:r>
          <w:rPr>
            <w:lang w:val="ar_AE" w:bidi="ar_AE"/>
          </w:rPr>
          <w:rPr>
            <w:color w:val="0000EE"/>
            <w:u w:val="single"/>
          </w:rPr>
          <w:t>2 ملوك 25:1–30</w:t>
        </w:r>
      </w:hyperlink>
      <w:r>
        <w:rPr>
          <w:lang w:val="ar_AE" w:bidi="ar_AE"/>
        </w:rPr>
        <w:t xml:space="preserve">). ثمة إشارات قليلة خارج سِفر عوبديا، تشير إلى رد فعل أدوم المحدد على هذا الحدَث (انظر أيضًا </w:t>
      </w:r>
      <w:hyperlink r:id="rId27">
        <w:r>
          <w:rPr>
            <w:lang w:val="ar_AE" w:bidi="ar_AE"/>
          </w:rPr>
          <w:rPr>
            <w:color w:val="0000EE"/>
            <w:u w:val="single"/>
          </w:rPr>
          <w:t>إشعياء 34:5–10</w:t>
        </w:r>
      </w:hyperlink>
      <w:r>
        <w:rPr>
          <w:lang w:val="ar_AE" w:bidi="ar_AE"/>
        </w:rPr>
        <w:t>). ربما كتب عوبديا نبوءته بعد مدّة وجيزة من تدمير أورشليم في عام 586 قبل الميلاد.</w:t>
      </w:r>
    </w:p>
    <w:p>
      <w:pPr>
        <w:pStyle w:val="Heading2"/>
        <w:bidi/>
      </w:pPr>
      <w:r>
        <w:rPr>
          <w:lang w:val="ar_AE" w:bidi="ar_AE"/>
        </w:rPr>
        <w:t>الخصائص الأدبية</w:t>
      </w:r>
    </w:p>
    <w:p>
      <w:pPr>
        <w:bidi/>
      </w:pPr>
      <w:r>
        <w:rPr>
          <w:lang w:val="ar_AE" w:bidi="ar_AE"/>
        </w:rPr>
      </w:r>
      <w:r>
        <w:rPr>
          <w:lang w:val="ar_AE" w:bidi="ar_AE"/>
        </w:rPr>
        <w:t xml:space="preserve">تتردد أصداء رسالة عوبديا عن أدوم في رسائل الأنبياء الآخرين وبعض أجزائها تتبع من كثب </w:t>
      </w:r>
      <w:hyperlink r:id="rId28">
        <w:r>
          <w:rPr>
            <w:lang w:val="ar_AE" w:bidi="ar_AE"/>
          </w:rPr>
          <w:rPr>
            <w:color w:val="0000EE"/>
            <w:u w:val="single"/>
          </w:rPr>
          <w:t>إرميا 49:9</w:t>
        </w:r>
      </w:hyperlink>
      <w:r>
        <w:rPr>
          <w:lang w:val="ar_AE" w:bidi="ar_AE"/>
        </w:rPr>
        <w:t xml:space="preserve">، </w:t>
      </w:r>
      <w:hyperlink r:id="rId29">
        <w:r>
          <w:rPr>
            <w:lang w:val="ar_AE" w:bidi="ar_AE"/>
          </w:rPr>
          <w:rPr>
            <w:color w:val="0000EE"/>
            <w:u w:val="single"/>
          </w:rPr>
          <w:t>14–16</w:t>
        </w:r>
      </w:hyperlink>
      <w:r>
        <w:rPr>
          <w:lang w:val="ar_AE" w:bidi="ar_AE"/>
        </w:rPr>
        <w:t xml:space="preserve">. ينبغي قراءتها، على الأرجح، بالتزامن مع نبوات أخرى تتعلق بمستقبل أدوم وقد تعمل عمل الامتداد لمثل هذه المقاطع مثل </w:t>
      </w:r>
      <w:hyperlink r:id="rId30">
        <w:r>
          <w:rPr>
            <w:lang w:val="ar_AE" w:bidi="ar_AE"/>
          </w:rPr>
          <w:rPr>
            <w:color w:val="0000EE"/>
            <w:u w:val="single"/>
          </w:rPr>
          <w:t>يوئيل 3:19</w:t>
        </w:r>
      </w:hyperlink>
      <w:r>
        <w:rPr>
          <w:lang w:val="ar_AE" w:bidi="ar_AE"/>
        </w:rPr>
        <w:t xml:space="preserve"> و</w:t>
      </w:r>
      <w:hyperlink r:id="rId31">
        <w:r>
          <w:rPr>
            <w:lang w:val="ar_AE" w:bidi="ar_AE"/>
          </w:rPr>
          <w:rPr>
            <w:color w:val="0000EE"/>
            <w:u w:val="single"/>
          </w:rPr>
          <w:t>عاموس 9:12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lang w:val="ar_AE" w:bidi="ar_AE"/>
        </w:rPr>
      </w:r>
      <w:r>
        <w:rPr>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lang w:val="ar_AE" w:bidi="ar_AE"/>
        </w:rPr>
        <w:t>قانون الانتقام</w:t>
      </w:r>
      <w:r>
        <w:rPr>
          <w:lang w:val="ar_AE" w:bidi="ar_AE"/>
        </w:rPr>
        <w:t>): "كما فعلت ... كذلك سيفعل بك" (</w:t>
      </w:r>
      <w:hyperlink r:id="rId32">
        <w:r>
          <w:rPr>
            <w:lang w:val="ar_AE" w:bidi="ar_AE"/>
          </w:rPr>
          <w:rPr>
            <w:color w:val="0000EE"/>
            <w:u w:val="single"/>
          </w:rPr>
          <w:t>1:15</w:t>
        </w:r>
      </w:hyperlink>
      <w:r>
        <w:rPr>
          <w:lang w:val="ar_AE" w:bidi="ar_AE"/>
        </w:rPr>
        <w:t>).</w:t>
      </w:r>
    </w:p>
    <w:p>
      <w:pPr>
        <w:bidi/>
      </w:pPr>
      <w:r>
        <w:rPr>
          <w:lang w:val="ar_AE" w:bidi="ar_AE"/>
        </w:rPr>
      </w:r>
      <w:r>
        <w:rPr>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3">
        <w:r>
          <w:rPr>
            <w:lang w:val="ar_AE" w:bidi="ar_AE"/>
          </w:rPr>
          <w:rPr>
            <w:color w:val="0000EE"/>
            <w:u w:val="single"/>
          </w:rPr>
          <w:t>1:16</w:t>
        </w:r>
      </w:hyperlink>
      <w:r>
        <w:rPr>
          <w:lang w:val="ar_AE" w:bidi="ar_AE"/>
        </w:rPr>
        <w:t>) ستشرب كأس غضب ٱلرّب. عندما يعود ٱلرَّب ملكًا على أورشليم المستعادة، سيكون جبل صهيون في مركز النظام الجديد.</w:t>
      </w:r>
    </w:p>
    <w:p>
      <w:pPr>
        <w:bidi/>
      </w:pPr>
      <w:r>
        <w:rPr>
          <w:lang w:val="ar_AE" w:bidi="ar_AE"/>
        </w:rPr>
      </w:r>
      <w:r>
        <w:rPr>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4">
        <w:r>
          <w:rPr>
            <w:lang w:val="ar_AE" w:bidi="ar_AE"/>
          </w:rPr>
          <w:rPr>
            <w:color w:val="0000EE"/>
            <w:u w:val="single"/>
          </w:rPr>
          <w:t>1:21</w:t>
        </w:r>
      </w:hyperlink>
      <w:r>
        <w:rPr>
          <w:lang w:val="ar_AE" w:bidi="ar_AE"/>
        </w:rPr>
        <w:t>). أصبح هذا الرجاء لإسرائيل رجاء العالم بأسره عندما أعلن المسيح: "ملكوت الله قريب" (</w:t>
      </w:r>
      <w:hyperlink r:id="rId35">
        <w:r>
          <w:rPr>
            <w:lang w:val="ar_AE" w:bidi="ar_AE"/>
          </w:rPr>
          <w:rPr>
            <w:color w:val="0000EE"/>
            <w:u w:val="single"/>
          </w:rPr>
          <w:t>مرقص 1:15؛</w:t>
        </w:r>
      </w:hyperlink>
      <w:r>
        <w:rPr>
          <w:lang w:val="ar_AE" w:bidi="ar_AE"/>
        </w:rPr>
        <w:t xml:space="preserve"> </w:t>
      </w:r>
      <w:hyperlink r:id="rId36">
        <w:r>
          <w:rPr>
            <w:lang w:val="ar_AE" w:bidi="ar_AE"/>
          </w:rPr>
          <w:rPr>
            <w:color w:val="0000EE"/>
            <w:u w:val="single"/>
          </w:rPr>
          <w:t>لوقا 10:9–12؛</w:t>
        </w:r>
      </w:hyperlink>
      <w:r>
        <w:rPr>
          <w:lang w:val="ar_AE" w:bidi="ar_AE"/>
        </w:rPr>
        <w:t xml:space="preserve"> </w:t>
      </w:r>
      <w:hyperlink r:id="rId37">
        <w:r>
          <w:rPr>
            <w:lang w:val="ar_AE" w:bidi="ar_AE"/>
          </w:rPr>
          <w:rPr>
            <w:color w:val="0000EE"/>
            <w:u w:val="single"/>
          </w:rPr>
          <w:t>21:31–33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