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hyperlink r:id="rId13">
        <w:r>
          <w:rPr>
            <w:lang w:val="fr_FR" w:bidi="fr_FR"/>
          </w:rPr>
          <w:rPr>
            <w:color w:val="0000EE"/>
            <w:u w:val="single"/>
          </w:rPr>
          <w:t>1.1–2.5</w:t>
        </w:r>
      </w:hyperlink>
      <w:r>
        <w:rPr>
          <w:lang w:val="fr_FR" w:bidi="fr_FR"/>
        </w:rPr>
        <w:t xml:space="preserve"> et </w:t>
      </w:r>
      <w:hyperlink r:id="rId14">
        <w:r>
          <w:rPr>
            <w:lang w:val="fr_FR" w:bidi="fr_FR"/>
          </w:rPr>
          <w:rPr>
            <w:color w:val="0000EE"/>
            <w:u w:val="single"/>
          </w:rPr>
          <w:t>2.6–3.6</w:t>
        </w:r>
      </w:hyperlink>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5">
        <w:r>
          <w:rPr>
            <w:lang w:val="fr_FR" w:bidi="fr_FR"/>
          </w:rPr>
          <w:rPr>
            <w:color w:val="0000EE"/>
            <w:u w:val="single"/>
          </w:rPr>
          <w:t>17–21</w:t>
        </w:r>
      </w:hyperlink>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hyperlink r:id="rId20">
        <w:r>
          <w:rPr>
            <w:lang w:val="fr_FR" w:bidi="fr_FR"/>
          </w:rPr>
          <w:rPr>
            <w:color w:val="0000EE"/>
            <w:u w:val="single"/>
          </w:rPr>
          <w:t>2.16–19</w:t>
        </w:r>
      </w:hyperlink>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hyperlink r:id="rId21">
        <w:r>
          <w:rPr>
            <w:lang w:val="fr_FR" w:bidi="fr_FR"/>
          </w:rPr>
          <w:rPr>
            <w:color w:val="0000EE"/>
            <w:u w:val="single"/>
          </w:rPr>
          <w:t>Jos 24.28–31</w:t>
        </w:r>
      </w:hyperlink>
      <w:r>
        <w:rPr>
          <w:lang w:val="fr_FR" w:bidi="fr_FR"/>
        </w:rPr>
        <w:t>. Le premier prologue (</w:t>
      </w:r>
      <w:hyperlink r:id="rId13">
        <w:r>
          <w:rPr>
            <w:lang w:val="fr_FR" w:bidi="fr_FR"/>
          </w:rPr>
          <w:rPr>
            <w:color w:val="0000EE"/>
            <w:u w:val="single"/>
          </w:rPr>
          <w:t>Jg 1.1–2.5</w:t>
        </w:r>
      </w:hyperlink>
      <w:r>
        <w:rPr>
          <w:lang w:val="fr_FR" w:bidi="fr_FR"/>
        </w:rPr>
        <w:t>) montre l’échec des tribus à respecter l’alliance, en se contentant d’une conquête partielle du pays, ce qui a entraîné le retrait de la protection divine (</w:t>
      </w:r>
      <w:hyperlink r:id="rId22">
        <w:r>
          <w:rPr>
            <w:lang w:val="fr_FR" w:bidi="fr_FR"/>
          </w:rPr>
          <w:rPr>
            <w:color w:val="0000EE"/>
            <w:u w:val="single"/>
          </w:rPr>
          <w:t>2.1–3</w:t>
        </w:r>
      </w:hyperlink>
      <w:r>
        <w:rPr>
          <w:lang w:val="fr_FR" w:bidi="fr_FR"/>
        </w:rPr>
        <w:t>).</w:t>
      </w:r>
    </w:p>
    <w:p>
      <w:pPr/>
      <w:r>
        <w:rPr>
          <w:lang w:val="fr_FR" w:bidi="fr_FR"/>
        </w:rPr>
      </w:r>
      <w:r>
        <w:rPr>
          <w:lang w:val="fr_FR" w:bidi="fr_FR"/>
        </w:rPr>
        <w:t>Le second prologue (</w:t>
      </w:r>
      <w:hyperlink r:id="rId14">
        <w:r>
          <w:rPr>
            <w:lang w:val="fr_FR" w:bidi="fr_FR"/>
          </w:rPr>
          <w:rPr>
            <w:color w:val="0000EE"/>
            <w:u w:val="single"/>
          </w:rPr>
          <w:t>2.6–3.6</w:t>
        </w:r>
      </w:hyperlink>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hyperlink r:id="rId23">
        <w:r>
          <w:rPr>
            <w:lang w:val="fr_FR" w:bidi="fr_FR"/>
          </w:rPr>
          <w:rPr>
            <w:color w:val="0000EE"/>
            <w:u w:val="single"/>
          </w:rPr>
          <w:t>2.10</w:t>
        </w:r>
      </w:hyperlink>
      <w:r>
        <w:rPr>
          <w:lang w:val="fr_FR" w:bidi="fr_FR"/>
        </w:rPr>
        <w:t>). Le récit introduit ensuite les juges envoyés par Dieu pour sauver Israël et les ramener à l’obéissance de l’alliance (</w:t>
      </w:r>
      <w:hyperlink r:id="rId24">
        <w:r>
          <w:rPr>
            <w:lang w:val="fr_FR" w:bidi="fr_FR"/>
          </w:rPr>
          <w:rPr>
            <w:color w:val="0000EE"/>
            <w:u w:val="single"/>
          </w:rPr>
          <w:t>2.16</w:t>
        </w:r>
      </w:hyperlink>
      <w:r>
        <w:rPr>
          <w:lang w:val="fr_FR" w:bidi="fr_FR"/>
        </w:rPr>
        <w:t>), leur fidélité devant se manifester par l’occupation du pays promis. Toutefois, dès le départ, l'échec de cette entreprise était annoncé (</w:t>
      </w:r>
      <w:hyperlink r:id="rId25">
        <w:r>
          <w:rPr>
            <w:lang w:val="fr_FR" w:bidi="fr_FR"/>
          </w:rPr>
          <w:rPr>
            <w:color w:val="0000EE"/>
            <w:u w:val="single"/>
          </w:rPr>
          <w:t>Jg 3.1–6</w:t>
        </w:r>
      </w:hyperlink>
      <w:r>
        <w:rPr>
          <w:lang w:val="fr_FR" w:bidi="fr_FR"/>
        </w:rPr>
        <w:t>).</w:t>
      </w:r>
    </w:p>
    <w:p>
      <w:pPr/>
      <w:r>
        <w:rPr>
          <w:lang w:val="fr_FR" w:bidi="fr_FR"/>
        </w:rPr>
      </w:r>
      <w:r>
        <w:rPr>
          <w:lang w:val="fr_FR" w:bidi="fr_FR"/>
        </w:rPr>
        <w:t>La section centrale (</w:t>
      </w:r>
      <w:hyperlink r:id="rId26">
        <w:r>
          <w:rPr>
            <w:lang w:val="fr_FR" w:bidi="fr_FR"/>
          </w:rPr>
          <w:rPr>
            <w:color w:val="0000EE"/>
            <w:u w:val="single"/>
          </w:rPr>
          <w:t>3.7–16.31</w:t>
        </w:r>
      </w:hyperlink>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7">
        <w:r>
          <w:rPr>
            <w:lang w:val="fr_FR" w:bidi="fr_FR"/>
          </w:rPr>
          <w:rPr>
            <w:color w:val="0000EE"/>
            <w:u w:val="single"/>
          </w:rPr>
          <w:t>9</w:t>
        </w:r>
      </w:hyperlink>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hyperlink r:id="rId28">
        <w:r>
          <w:rPr>
            <w:lang w:val="fr_FR" w:bidi="fr_FR"/>
          </w:rPr>
          <w:rPr>
            <w:color w:val="0000EE"/>
            <w:u w:val="single"/>
          </w:rPr>
          <w:t>17–18</w:t>
        </w:r>
      </w:hyperlink>
      <w:r>
        <w:rPr>
          <w:lang w:val="fr_FR" w:bidi="fr_FR"/>
        </w:rPr>
        <w:t xml:space="preserve"> ; </w:t>
      </w:r>
      <w:hyperlink r:id="rId29">
        <w:r>
          <w:rPr>
            <w:lang w:val="fr_FR" w:bidi="fr_FR"/>
          </w:rPr>
          <w:rPr>
            <w:color w:val="0000EE"/>
            <w:u w:val="single"/>
          </w:rPr>
          <w:t>19–21</w:t>
        </w:r>
      </w:hyperlink>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hyperlink r:id="rId30">
        <w:r>
          <w:rPr>
            <w:lang w:val="fr_FR" w:bidi="fr_FR"/>
          </w:rPr>
          <w:rPr>
            <w:color w:val="0000EE"/>
            <w:u w:val="single"/>
          </w:rPr>
          <w:t>2R 25.27–30</w:t>
        </w:r>
      </w:hyperlink>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1">
        <w:r>
          <w:rPr>
            <w:lang w:val="fr_FR" w:bidi="fr_FR"/>
          </w:rPr>
          <w:rPr>
            <w:color w:val="0000EE"/>
            <w:u w:val="single"/>
          </w:rPr>
          <w:t>Jg 11.26</w:t>
        </w:r>
      </w:hyperlink>
      <w:r>
        <w:rPr>
          <w:lang w:val="fr_FR" w:bidi="fr_FR"/>
        </w:rPr>
        <w:t xml:space="preserve"> et </w:t>
      </w:r>
      <w:hyperlink r:id="rId32">
        <w:r>
          <w:rPr>
            <w:lang w:val="fr_FR" w:bidi="fr_FR"/>
          </w:rPr>
          <w:rPr>
            <w:color w:val="0000EE"/>
            <w:u w:val="single"/>
          </w:rPr>
          <w:t>1R 6.1</w:t>
        </w:r>
      </w:hyperlink>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hyperlink r:id="rId33">
        <w:r>
          <w:rPr>
            <w:lang w:val="fr_FR" w:bidi="fr_FR"/>
          </w:rPr>
          <w:rPr>
            <w:color w:val="0000EE"/>
            <w:u w:val="single"/>
          </w:rPr>
          <w:t>Jg 10.7</w:t>
        </w:r>
      </w:hyperlink>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hyperlink r:id="rId34">
        <w:r>
          <w:rPr>
            <w:lang w:val="fr_FR" w:bidi="fr_FR"/>
          </w:rPr>
          <w:rPr>
            <w:color w:val="0000EE"/>
            <w:u w:val="single"/>
          </w:rPr>
          <w:t>3.31</w:t>
        </w:r>
      </w:hyperlink>
      <w:r>
        <w:rPr>
          <w:lang w:val="fr_FR" w:bidi="fr_FR"/>
        </w:rPr>
        <w:t>) et Débora «</w:t>
      </w:r>
      <w:r>
        <w:rPr>
          <w:lang w:val="fr_FR" w:bidi="fr_FR"/>
        </w:rPr>
        <w:t>après qu’Éhud fut mort</w:t>
      </w:r>
      <w:r>
        <w:rPr>
          <w:lang w:val="fr_FR" w:bidi="fr_FR"/>
        </w:rPr>
        <w:t xml:space="preserve"> » (</w:t>
      </w:r>
      <w:hyperlink r:id="rId35">
        <w:r>
          <w:rPr>
            <w:lang w:val="fr_FR" w:bidi="fr_FR"/>
          </w:rPr>
          <w:rPr>
            <w:color w:val="0000EE"/>
            <w:u w:val="single"/>
          </w:rPr>
          <w:t>4.1</w:t>
        </w:r>
      </w:hyperlink>
      <w:r>
        <w:rPr>
          <w:lang w:val="fr_FR" w:bidi="fr_FR"/>
        </w:rPr>
        <w:t xml:space="preserve"> ; voir aussi </w:t>
      </w:r>
      <w:hyperlink r:id="rId36">
        <w:r>
          <w:rPr>
            <w:lang w:val="fr_FR" w:bidi="fr_FR"/>
          </w:rPr>
          <w:rPr>
            <w:color w:val="0000EE"/>
            <w:u w:val="single"/>
          </w:rPr>
          <w:t>5.6</w:t>
        </w:r>
      </w:hyperlink>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7">
        <w:r>
          <w:rPr>
            <w:lang w:val="fr_FR" w:bidi="fr_FR"/>
          </w:rPr>
          <w:rPr>
            <w:color w:val="0000EE"/>
            <w:u w:val="single"/>
          </w:rPr>
          <w:t>2S 7.1–29</w:t>
        </w:r>
      </w:hyperlink>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