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hyperlink r:id="rId13">
        <w:r>
          <w:rPr>
            <w:lang w:val="fr_FR" w:bidi="fr_FR"/>
          </w:rPr>
          <w:rPr>
            <w:color w:val="0000EE"/>
            <w:u w:val="single"/>
          </w:rPr>
          <w:t>2Ch 26.11–15</w:t>
        </w:r>
      </w:hyperlink>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4">
        <w:r>
          <w:rPr>
            <w:lang w:val="fr_FR" w:bidi="fr_FR"/>
          </w:rPr>
          <w:rPr>
            <w:color w:val="0000EE"/>
            <w:u w:val="single"/>
          </w:rPr>
          <w:t>Es 6</w:t>
        </w:r>
      </w:hyperlink>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5">
        <w:r>
          <w:rPr>
            <w:lang w:val="fr_FR" w:bidi="fr_FR"/>
          </w:rPr>
          <w:rPr>
            <w:color w:val="0000EE"/>
            <w:u w:val="single"/>
          </w:rPr>
          <w:t>2Ch 28.16–21</w:t>
        </w:r>
      </w:hyperlink>
      <w:r>
        <w:rPr>
          <w:lang w:val="fr_FR" w:bidi="fr_FR"/>
        </w:rPr>
        <w:t>) plutôt que de mettre sa confiance en Dieu (</w:t>
      </w:r>
      <w:hyperlink r:id="rId16">
        <w:r>
          <w:rPr>
            <w:lang w:val="fr_FR" w:bidi="fr_FR"/>
          </w:rPr>
          <w:rPr>
            <w:color w:val="0000EE"/>
            <w:u w:val="single"/>
          </w:rPr>
          <w:t>Es 7.1–12</w:t>
        </w:r>
      </w:hyperlink>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hyperlink r:id="rId17">
        <w:r>
          <w:rPr>
            <w:lang w:val="fr_FR" w:bidi="fr_FR"/>
          </w:rPr>
          <w:rPr>
            <w:color w:val="0000EE"/>
            <w:u w:val="single"/>
          </w:rPr>
          <w:t>2R 17.5–18</w:t>
        </w:r>
      </w:hyperlink>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hyperlink r:id="rId18">
        <w:r>
          <w:rPr>
            <w:lang w:val="fr_FR" w:bidi="fr_FR"/>
          </w:rPr>
          <w:rPr>
            <w:color w:val="0000EE"/>
            <w:u w:val="single"/>
          </w:rPr>
          <w:t>37.21–36</w:t>
        </w:r>
      </w:hyperlink>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hyperlink r:id="rId19">
        <w:r>
          <w:rPr>
            <w:lang w:val="fr_FR" w:bidi="fr_FR"/>
          </w:rPr>
          <w:rPr>
            <w:color w:val="0000EE"/>
            <w:u w:val="single"/>
          </w:rPr>
          <w:t>Esd 1.1–4</w:t>
        </w:r>
      </w:hyperlink>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hyperlink r:id="rId20">
        <w:r>
          <w:rPr>
            <w:lang w:val="fr_FR" w:bidi="fr_FR"/>
          </w:rPr>
          <w:rPr>
            <w:color w:val="0000EE"/>
            <w:u w:val="single"/>
          </w:rPr>
          <w:t>Ésaïe 1–39</w:t>
        </w:r>
      </w:hyperlink>
      <w:r>
        <w:rPr>
          <w:lang w:val="fr_FR" w:bidi="fr_FR"/>
        </w:rPr>
        <w:t xml:space="preserve"> couvre la période allant de la mort d'Ozias (740 av. J.-C.) à 701 av. J.-C. L'introduction (</w:t>
      </w:r>
      <w:hyperlink r:id="rId21">
        <w:r>
          <w:rPr>
            <w:lang w:val="fr_FR" w:bidi="fr_FR"/>
          </w:rPr>
          <w:rPr>
            <w:color w:val="0000EE"/>
            <w:u w:val="single"/>
          </w:rPr>
          <w:t>chap. 1–5</w:t>
        </w:r>
      </w:hyperlink>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4">
        <w:r>
          <w:rPr>
            <w:lang w:val="fr_FR" w:bidi="fr_FR"/>
          </w:rPr>
          <w:rPr>
            <w:color w:val="0000EE"/>
            <w:u w:val="single"/>
          </w:rPr>
          <w:t>chapitre 6</w:t>
        </w:r>
      </w:hyperlink>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2">
        <w:r>
          <w:rPr>
            <w:lang w:val="fr_FR" w:bidi="fr_FR"/>
          </w:rPr>
          <w:rPr>
            <w:color w:val="0000EE"/>
            <w:u w:val="single"/>
          </w:rPr>
          <w:t>chapitres 13–35</w:t>
        </w:r>
      </w:hyperlink>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3">
        <w:r>
          <w:rPr>
            <w:lang w:val="fr_FR" w:bidi="fr_FR"/>
          </w:rPr>
          <w:rPr>
            <w:color w:val="0000EE"/>
            <w:u w:val="single"/>
          </w:rPr>
          <w:t>chapitres 7–12</w:t>
        </w:r>
      </w:hyperlink>
      <w:r>
        <w:rPr>
          <w:lang w:val="fr_FR" w:bidi="fr_FR"/>
        </w:rPr>
        <w:t xml:space="preserve">, et celle du roi Ézéchias dans les </w:t>
      </w:r>
      <w:hyperlink r:id="rId24">
        <w:r>
          <w:rPr>
            <w:lang w:val="fr_FR" w:bidi="fr_FR"/>
          </w:rPr>
          <w:rPr>
            <w:color w:val="0000EE"/>
            <w:u w:val="single"/>
          </w:rPr>
          <w:t>chapitres 36–39</w:t>
        </w:r>
      </w:hyperlink>
      <w:r>
        <w:rPr>
          <w:lang w:val="fr_FR" w:bidi="fr_FR"/>
        </w:rPr>
        <w:t>. Lorsque premier ne se fie pas à Dieu, un désastre s'ensuit. En revanche, c'est le cas de son fils Ézéchias, et une grande délivrance se produit. Cependant, lui aussi connait des moments de faiblesse (</w:t>
      </w:r>
      <w:hyperlink r:id="rId25">
        <w:r>
          <w:rPr>
            <w:lang w:val="fr_FR" w:bidi="fr_FR"/>
          </w:rPr>
          <w:rPr>
            <w:color w:val="0000EE"/>
            <w:u w:val="single"/>
          </w:rPr>
          <w:t>chap. 39</w:t>
        </w:r>
      </w:hyperlink>
      <w:r>
        <w:rPr>
          <w:lang w:val="fr_FR" w:bidi="fr_FR"/>
        </w:rPr>
        <w:t>), préparant le terrain à la défaite ultérieure de Juda et à l'exil à Babylone.</w:t>
      </w:r>
    </w:p>
    <w:p>
      <w:pPr/>
      <w:r>
        <w:rPr>
          <w:lang w:val="fr_FR" w:bidi="fr_FR"/>
        </w:rPr>
      </w:r>
      <w:hyperlink r:id="rId26">
        <w:r>
          <w:rPr>
            <w:lang w:val="fr_FR" w:bidi="fr_FR"/>
          </w:rPr>
          <w:rPr>
            <w:color w:val="0000EE"/>
            <w:u w:val="single"/>
          </w:rPr>
          <w:t>Ésaïe 40–55</w:t>
        </w:r>
      </w:hyperlink>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7">
        <w:r>
          <w:rPr>
            <w:lang w:val="fr_FR" w:bidi="fr_FR"/>
          </w:rPr>
          <w:rPr>
            <w:color w:val="0000EE"/>
            <w:u w:val="single"/>
          </w:rPr>
          <w:t>chapitres 40–48</w:t>
        </w:r>
      </w:hyperlink>
      <w:r>
        <w:rPr>
          <w:lang w:val="fr_FR" w:bidi="fr_FR"/>
        </w:rPr>
        <w:t xml:space="preserve">, Ésaïe montre que Dieu est infiniment supérieur à n'importe quel dieu idole. Son peuple en sera la preuve lorsque Dieu le sauvera des mains finalement impuissantes de Babylone. Dans les </w:t>
      </w:r>
      <w:hyperlink r:id="rId28">
        <w:r>
          <w:rPr>
            <w:lang w:val="fr_FR" w:bidi="fr_FR"/>
          </w:rPr>
          <w:rPr>
            <w:color w:val="0000EE"/>
            <w:u w:val="single"/>
          </w:rPr>
          <w:t>chapitres 49–55</w:t>
        </w:r>
      </w:hyperlink>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hyperlink r:id="rId29">
        <w:r>
          <w:rPr>
            <w:lang w:val="fr_FR" w:bidi="fr_FR"/>
          </w:rPr>
          <w:rPr>
            <w:color w:val="0000EE"/>
            <w:u w:val="single"/>
          </w:rPr>
          <w:t>Ésaïe 56–66</w:t>
        </w:r>
      </w:hyperlink>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0">
        <w:r>
          <w:rPr>
            <w:lang w:val="fr_FR" w:bidi="fr_FR"/>
          </w:rPr>
          <w:rPr>
            <w:color w:val="0000EE"/>
            <w:u w:val="single"/>
          </w:rPr>
          <w:t>Mt 8.17</w:t>
        </w:r>
      </w:hyperlink>
      <w:r>
        <w:rPr>
          <w:lang w:val="fr_FR" w:bidi="fr_FR"/>
        </w:rPr>
        <w:t xml:space="preserve"> ; </w:t>
      </w:r>
      <w:hyperlink r:id="rId31">
        <w:r>
          <w:rPr>
            <w:lang w:val="fr_FR" w:bidi="fr_FR"/>
          </w:rPr>
          <w:rPr>
            <w:color w:val="0000EE"/>
            <w:u w:val="single"/>
          </w:rPr>
          <w:t>12.17–21</w:t>
        </w:r>
      </w:hyperlink>
      <w:r>
        <w:rPr>
          <w:lang w:val="fr_FR" w:bidi="fr_FR"/>
        </w:rPr>
        <w:t xml:space="preserve"> ; </w:t>
      </w:r>
      <w:hyperlink r:id="rId32">
        <w:r>
          <w:rPr>
            <w:lang w:val="fr_FR" w:bidi="fr_FR"/>
          </w:rPr>
          <w:rPr>
            <w:color w:val="0000EE"/>
            <w:u w:val="single"/>
          </w:rPr>
          <w:t>Lc 3.4–6</w:t>
        </w:r>
      </w:hyperlink>
      <w:r>
        <w:rPr>
          <w:lang w:val="fr_FR" w:bidi="fr_FR"/>
        </w:rPr>
        <w:t xml:space="preserve"> ; </w:t>
      </w:r>
      <w:hyperlink r:id="rId33">
        <w:r>
          <w:rPr>
            <w:lang w:val="fr_FR" w:bidi="fr_FR"/>
          </w:rPr>
          <w:rPr>
            <w:color w:val="0000EE"/>
            <w:u w:val="single"/>
          </w:rPr>
          <w:t>Ac 8.28–35</w:t>
        </w:r>
      </w:hyperlink>
      <w:r>
        <w:rPr>
          <w:lang w:val="fr_FR" w:bidi="fr_FR"/>
        </w:rPr>
        <w:t xml:space="preserve"> ; </w:t>
      </w:r>
      <w:hyperlink r:id="rId34">
        <w:r>
          <w:rPr>
            <w:lang w:val="fr_FR" w:bidi="fr_FR"/>
          </w:rPr>
          <w:rPr>
            <w:color w:val="0000EE"/>
            <w:u w:val="single"/>
          </w:rPr>
          <w:t>Rm 10.16</w:t>
        </w:r>
      </w:hyperlink>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hyperlink r:id="rId35">
        <w:r>
          <w:rPr>
            <w:lang w:val="fr_FR" w:bidi="fr_FR"/>
          </w:rPr>
          <w:rPr>
            <w:color w:val="0000EE"/>
            <w:u w:val="single"/>
          </w:rPr>
          <w:t>chapitres 6–39</w:t>
        </w:r>
      </w:hyperlink>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6">
        <w:r>
          <w:rPr>
            <w:lang w:val="fr_FR" w:bidi="fr_FR"/>
          </w:rPr>
          <w:rPr>
            <w:color w:val="0000EE"/>
            <w:u w:val="single"/>
          </w:rPr>
          <w:t>chapitres 40–66</w:t>
        </w:r>
      </w:hyperlink>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0">
        <w:r>
          <w:rPr>
            <w:lang w:val="fr_FR" w:bidi="fr_FR"/>
          </w:rPr>
          <w:rPr>
            <w:color w:val="0000EE"/>
            <w:u w:val="single"/>
          </w:rPr>
          <w:t>chapitres 1–39</w:t>
        </w:r>
      </w:hyperlink>
      <w:r>
        <w:rPr>
          <w:lang w:val="fr_FR" w:bidi="fr_FR"/>
        </w:rPr>
        <w:t xml:space="preserve"> et celle des </w:t>
      </w:r>
      <w:hyperlink r:id="rId36">
        <w:r>
          <w:rPr>
            <w:lang w:val="fr_FR" w:bidi="fr_FR"/>
          </w:rPr>
          <w:rPr>
            <w:color w:val="0000EE"/>
            <w:u w:val="single"/>
          </w:rPr>
          <w:t>chapitres 40–66</w:t>
        </w:r>
      </w:hyperlink>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hyperlink r:id="rId37">
        <w:r>
          <w:rPr>
            <w:lang w:val="fr_FR" w:bidi="fr_FR"/>
          </w:rPr>
          <w:rPr>
            <w:color w:val="0000EE"/>
            <w:u w:val="single"/>
          </w:rPr>
          <w:t>9.8–21</w:t>
        </w:r>
      </w:hyperlink>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hyperlink r:id="rId38">
        <w:r>
          <w:rPr>
            <w:lang w:val="fr_FR" w:bidi="fr_FR"/>
          </w:rPr>
          <w:rPr>
            <w:color w:val="0000EE"/>
            <w:u w:val="single"/>
          </w:rPr>
          <w:t>5.8–30</w:t>
        </w:r>
      </w:hyperlink>
      <w:r>
        <w:rPr>
          <w:lang w:val="fr_FR" w:bidi="fr_FR"/>
        </w:rPr>
        <w:t xml:space="preserve"> ; </w:t>
      </w:r>
      <w:hyperlink r:id="rId39">
        <w:r>
          <w:rPr>
            <w:lang w:val="fr_FR" w:bidi="fr_FR"/>
          </w:rPr>
          <w:rPr>
            <w:color w:val="0000EE"/>
            <w:u w:val="single"/>
          </w:rPr>
          <w:t>29.1–12</w:t>
        </w:r>
      </w:hyperlink>
      <w:r>
        <w:rPr>
          <w:lang w:val="fr_FR" w:bidi="fr_FR"/>
        </w:rPr>
        <w:t xml:space="preserve"> ; </w:t>
      </w:r>
      <w:hyperlink r:id="rId40">
        <w:r>
          <w:rPr>
            <w:lang w:val="fr_FR" w:bidi="fr_FR"/>
          </w:rPr>
          <w:rPr>
            <w:color w:val="0000EE"/>
            <w:u w:val="single"/>
          </w:rPr>
          <w:t>31.1–9</w:t>
        </w:r>
      </w:hyperlink>
      <w:r>
        <w:rPr>
          <w:lang w:val="fr_FR" w:bidi="fr_FR"/>
        </w:rPr>
        <w:t>) ;</w:t>
      </w:r>
    </w:p>
    <w:p>
      <w:pPr>
        <w:pStyle w:val="ListBullet"/>
        <w:spacing w:line="240" w:lineRule="auto"/>
        <w:ind w:left="720"/>
      </w:pPr>
      <w:r>
        <w:rPr>
          <w:lang w:val="fr_FR" w:bidi="fr_FR"/>
        </w:rPr>
      </w:r>
      <w:r>
        <w:rPr>
          <w:lang w:val="fr_FR" w:bidi="fr_FR"/>
        </w:rPr>
        <w:t>des paraboles qui enseignent par analogie (</w:t>
      </w:r>
      <w:hyperlink r:id="rId41">
        <w:r>
          <w:rPr>
            <w:lang w:val="fr_FR" w:bidi="fr_FR"/>
          </w:rPr>
          <w:rPr>
            <w:color w:val="0000EE"/>
            <w:u w:val="single"/>
          </w:rPr>
          <w:t>5.1–8</w:t>
        </w:r>
      </w:hyperlink>
      <w:r>
        <w:rPr>
          <w:lang w:val="fr_FR" w:bidi="fr_FR"/>
        </w:rPr>
        <w:t xml:space="preserve"> ; </w:t>
      </w:r>
      <w:hyperlink r:id="rId42">
        <w:r>
          <w:rPr>
            <w:lang w:val="fr_FR" w:bidi="fr_FR"/>
          </w:rPr>
          <w:rPr>
            <w:color w:val="0000EE"/>
            <w:u w:val="single"/>
          </w:rPr>
          <w:t>27.2–6</w:t>
        </w:r>
      </w:hyperlink>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hyperlink r:id="rId43">
        <w:r>
          <w:rPr>
            <w:lang w:val="fr_FR" w:bidi="fr_FR"/>
          </w:rPr>
          <w:rPr>
            <w:color w:val="0000EE"/>
            <w:u w:val="single"/>
          </w:rPr>
          <w:t>41.21–29</w:t>
        </w:r>
      </w:hyperlink>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hyperlink r:id="rId44">
        <w:r>
          <w:rPr>
            <w:lang w:val="fr_FR" w:bidi="fr_FR"/>
          </w:rPr>
          <w:rPr>
            <w:color w:val="0000EE"/>
            <w:u w:val="single"/>
          </w:rPr>
          <w:t>2.1–5</w:t>
        </w:r>
      </w:hyperlink>
      <w:r>
        <w:rPr>
          <w:lang w:val="fr_FR" w:bidi="fr_FR"/>
        </w:rPr>
        <w:t xml:space="preserve"> ; </w:t>
      </w:r>
      <w:hyperlink r:id="rId45">
        <w:r>
          <w:rPr>
            <w:lang w:val="fr_FR" w:bidi="fr_FR"/>
          </w:rPr>
          <w:rPr>
            <w:color w:val="0000EE"/>
            <w:u w:val="single"/>
          </w:rPr>
          <w:t>32.1–20</w:t>
        </w:r>
      </w:hyperlink>
      <w:r>
        <w:rPr>
          <w:lang w:val="fr_FR" w:bidi="fr_FR"/>
        </w:rPr>
        <w:t xml:space="preserve"> ; </w:t>
      </w:r>
      <w:hyperlink r:id="rId46">
        <w:r>
          <w:rPr>
            <w:lang w:val="fr_FR" w:bidi="fr_FR"/>
          </w:rPr>
          <w:rPr>
            <w:color w:val="0000EE"/>
            <w:u w:val="single"/>
          </w:rPr>
          <w:t>60.1–22</w:t>
        </w:r>
      </w:hyperlink>
      <w:r>
        <w:rPr>
          <w:lang w:val="fr_FR" w:bidi="fr_FR"/>
        </w:rPr>
        <w:t>) ;</w:t>
      </w:r>
    </w:p>
    <w:p>
      <w:pPr>
        <w:pStyle w:val="ListBullet"/>
        <w:spacing w:line="240" w:lineRule="auto"/>
        <w:ind w:left="720"/>
      </w:pPr>
      <w:r>
        <w:rPr>
          <w:lang w:val="fr_FR" w:bidi="fr_FR"/>
        </w:rPr>
      </w:r>
      <w:r>
        <w:rPr>
          <w:lang w:val="fr_FR" w:bidi="fr_FR"/>
        </w:rPr>
        <w:t>des hymnes de louange à Dieu pour sa fidélité (</w:t>
      </w:r>
      <w:hyperlink r:id="rId47">
        <w:r>
          <w:rPr>
            <w:lang w:val="fr_FR" w:bidi="fr_FR"/>
          </w:rPr>
          <w:rPr>
            <w:color w:val="0000EE"/>
            <w:u w:val="single"/>
          </w:rPr>
          <w:t>12.1–6</w:t>
        </w:r>
      </w:hyperlink>
      <w:r>
        <w:rPr>
          <w:lang w:val="fr_FR" w:bidi="fr_FR"/>
        </w:rPr>
        <w:t xml:space="preserve"> ; </w:t>
      </w:r>
      <w:hyperlink r:id="rId48">
        <w:r>
          <w:rPr>
            <w:lang w:val="fr_FR" w:bidi="fr_FR"/>
          </w:rPr>
          <w:rPr>
            <w:color w:val="0000EE"/>
            <w:u w:val="single"/>
          </w:rPr>
          <w:t>26.1–6</w:t>
        </w:r>
      </w:hyperlink>
      <w:r>
        <w:rPr>
          <w:lang w:val="fr_FR" w:bidi="fr_FR"/>
        </w:rPr>
        <w:t>) ;</w:t>
      </w:r>
    </w:p>
    <w:p>
      <w:pPr>
        <w:pStyle w:val="ListBullet"/>
        <w:spacing w:line="240" w:lineRule="auto"/>
        <w:ind w:left="720"/>
      </w:pPr>
      <w:r>
        <w:rPr>
          <w:lang w:val="fr_FR" w:bidi="fr_FR"/>
        </w:rPr>
      </w:r>
      <w:r>
        <w:rPr>
          <w:lang w:val="fr_FR" w:bidi="fr_FR"/>
        </w:rPr>
        <w:t>des prophéties contre les nations étrangères (</w:t>
      </w:r>
      <w:hyperlink r:id="rId49">
        <w:r>
          <w:rPr>
            <w:lang w:val="fr_FR" w:bidi="fr_FR"/>
          </w:rPr>
          <w:rPr>
            <w:color w:val="0000EE"/>
            <w:u w:val="single"/>
          </w:rPr>
          <w:t>15.1–16.14</w:t>
        </w:r>
      </w:hyperlink>
      <w:r>
        <w:rPr>
          <w:lang w:val="fr_FR" w:bidi="fr_FR"/>
        </w:rPr>
        <w:t xml:space="preserve"> ; </w:t>
      </w:r>
      <w:hyperlink r:id="rId50">
        <w:r>
          <w:rPr>
            <w:lang w:val="fr_FR" w:bidi="fr_FR"/>
          </w:rPr>
          <w:rPr>
            <w:color w:val="0000EE"/>
            <w:u w:val="single"/>
          </w:rPr>
          <w:t>23.1–18</w:t>
        </w:r>
      </w:hyperlink>
      <w:r>
        <w:rPr>
          <w:lang w:val="fr_FR" w:bidi="fr_FR"/>
        </w:rPr>
        <w:t>) ;</w:t>
      </w:r>
    </w:p>
    <w:p>
      <w:pPr>
        <w:pStyle w:val="ListBullet"/>
        <w:spacing w:line="240" w:lineRule="auto"/>
        <w:ind w:left="720"/>
      </w:pPr>
      <w:r>
        <w:rPr>
          <w:lang w:val="fr_FR" w:bidi="fr_FR"/>
        </w:rPr>
      </w:r>
      <w:r>
        <w:rPr>
          <w:lang w:val="fr_FR" w:bidi="fr_FR"/>
        </w:rPr>
        <w:t>des prophéties d'un roi à venir, le Messie (</w:t>
      </w:r>
      <w:hyperlink r:id="rId51">
        <w:r>
          <w:rPr>
            <w:lang w:val="fr_FR" w:bidi="fr_FR"/>
          </w:rPr>
          <w:rPr>
            <w:color w:val="0000EE"/>
            <w:u w:val="single"/>
          </w:rPr>
          <w:t>9.1–7</w:t>
        </w:r>
      </w:hyperlink>
      <w:r>
        <w:rPr>
          <w:lang w:val="fr_FR" w:bidi="fr_FR"/>
        </w:rPr>
        <w:t xml:space="preserve"> ; </w:t>
      </w:r>
      <w:hyperlink r:id="rId52">
        <w:r>
          <w:rPr>
            <w:lang w:val="fr_FR" w:bidi="fr_FR"/>
          </w:rPr>
          <w:rPr>
            <w:color w:val="0000EE"/>
            <w:u w:val="single"/>
          </w:rPr>
          <w:t>11.1–9</w:t>
        </w:r>
      </w:hyperlink>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hyperlink r:id="rId53">
        <w:r>
          <w:rPr>
            <w:lang w:val="fr_FR" w:bidi="fr_FR"/>
          </w:rPr>
          <w:rPr>
            <w:color w:val="0000EE"/>
            <w:u w:val="single"/>
          </w:rPr>
          <w:t>42.1–9</w:t>
        </w:r>
      </w:hyperlink>
      <w:r>
        <w:rPr>
          <w:lang w:val="fr_FR" w:bidi="fr_FR"/>
        </w:rPr>
        <w:t xml:space="preserve"> ; </w:t>
      </w:r>
      <w:hyperlink r:id="rId54">
        <w:r>
          <w:rPr>
            <w:lang w:val="fr_FR" w:bidi="fr_FR"/>
          </w:rPr>
          <w:rPr>
            <w:color w:val="0000EE"/>
            <w:u w:val="single"/>
          </w:rPr>
          <w:t>52.13–53.12</w:t>
        </w:r>
      </w:hyperlink>
      <w:r>
        <w:rPr>
          <w:lang w:val="fr_FR" w:bidi="fr_FR"/>
        </w:rPr>
        <w:t>) ;</w:t>
      </w:r>
    </w:p>
    <w:p>
      <w:pPr>
        <w:pStyle w:val="ListBullet"/>
        <w:spacing w:line="240" w:lineRule="auto"/>
        <w:ind w:left="720"/>
      </w:pPr>
      <w:r>
        <w:rPr>
          <w:lang w:val="fr_FR" w:bidi="fr_FR"/>
        </w:rPr>
      </w:r>
      <w:r>
        <w:rPr>
          <w:lang w:val="fr_FR" w:bidi="fr_FR"/>
        </w:rPr>
        <w:t>des récits d'événements contemporains (</w:t>
      </w:r>
      <w:hyperlink r:id="rId55">
        <w:r>
          <w:rPr>
            <w:lang w:val="fr_FR" w:bidi="fr_FR"/>
          </w:rPr>
          <w:rPr>
            <w:color w:val="0000EE"/>
            <w:u w:val="single"/>
          </w:rPr>
          <w:t>36.1–22</w:t>
        </w:r>
      </w:hyperlink>
      <w:r>
        <w:rPr>
          <w:lang w:val="fr_FR" w:bidi="fr_FR"/>
        </w:rPr>
        <w:t xml:space="preserve"> ; </w:t>
      </w:r>
      <w:hyperlink r:id="rId25">
        <w:r>
          <w:rPr>
            <w:lang w:val="fr_FR" w:bidi="fr_FR"/>
          </w:rPr>
          <w:rPr>
            <w:color w:val="0000EE"/>
            <w:u w:val="single"/>
          </w:rPr>
          <w:t>39.1–8</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hyperlink r:id="rId56">
        <w:r>
          <w:rPr>
            <w:lang w:val="fr_FR" w:bidi="fr_FR"/>
          </w:rPr>
          <w:rPr>
            <w:color w:val="0000EE"/>
            <w:u w:val="single"/>
          </w:rPr>
          <w:t>7.14</w:t>
        </w:r>
      </w:hyperlink>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hyperlink r:id="rId57">
        <w:r>
          <w:rPr>
            <w:lang w:val="fr_FR" w:bidi="fr_FR"/>
          </w:rPr>
          <w:rPr>
            <w:color w:val="0000EE"/>
            <w:u w:val="single"/>
          </w:rPr>
          <w:t>Mt 1.21–23</w:t>
        </w:r>
      </w:hyperlink>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