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3">
        <w:r>
          <w:rPr>
            <w:lang w:val="hi_IN" w:bidi="hi_IN"/>
          </w:rPr>
          <w:rPr>
            <w:color w:val="0000EE"/>
            <w:u w:val="single"/>
          </w:rPr>
          <w:t>5:1–13</w:t>
        </w:r>
      </w:hyperlink>
      <w:r>
        <w:rPr>
          <w:lang w:val="hi_IN" w:bidi="hi_IN"/>
        </w:rPr>
        <w:t xml:space="preserve">; </w:t>
      </w:r>
      <w:hyperlink r:id="rId14">
        <w:r>
          <w:rPr>
            <w:lang w:val="hi_IN" w:bidi="hi_IN"/>
          </w:rPr>
          <w:rPr>
            <w:color w:val="0000EE"/>
            <w:u w:val="single"/>
          </w:rPr>
          <w:t>6:12–20</w:t>
        </w:r>
      </w:hyperlink>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5">
        <w:r>
          <w:rPr>
            <w:lang w:val="hi_IN" w:bidi="hi_IN"/>
          </w:rPr>
          <w:rPr>
            <w:color w:val="0000EE"/>
            <w:u w:val="single"/>
          </w:rPr>
          <w:t>1:10–12</w:t>
        </w:r>
      </w:hyperlink>
      <w:r>
        <w:rPr>
          <w:lang w:val="hi_IN" w:bidi="hi_IN"/>
        </w:rPr>
        <w:t xml:space="preserve">; </w:t>
      </w:r>
      <w:hyperlink r:id="rId16">
        <w:r>
          <w:rPr>
            <w:lang w:val="hi_IN" w:bidi="hi_IN"/>
          </w:rPr>
          <w:rPr>
            <w:color w:val="0000EE"/>
            <w:u w:val="single"/>
          </w:rPr>
          <w:t>3:1–4</w:t>
        </w:r>
      </w:hyperlink>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7">
        <w:r>
          <w:rPr>
            <w:lang w:val="hi_IN" w:bidi="hi_IN"/>
          </w:rPr>
          <w:rPr>
            <w:color w:val="0000EE"/>
            <w:u w:val="single"/>
          </w:rPr>
          <w:t>प्रेरि 18:1–17</w:t>
        </w:r>
      </w:hyperlink>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hyperlink r:id="rId18">
        <w:r>
          <w:rPr>
            <w:lang w:val="hi_IN" w:bidi="hi_IN"/>
          </w:rPr>
          <w:rPr>
            <w:color w:val="0000EE"/>
            <w:u w:val="single"/>
          </w:rPr>
          <w:t>1:1–4:21</w:t>
        </w:r>
      </w:hyperlink>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hyperlink r:id="rId13">
        <w:r>
          <w:rPr>
            <w:lang w:val="hi_IN" w:bidi="hi_IN"/>
          </w:rPr>
          <w:rPr>
            <w:color w:val="0000EE"/>
            <w:u w:val="single"/>
          </w:rPr>
          <w:t>5:1–13</w:t>
        </w:r>
      </w:hyperlink>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यौन अनैतिकता की समस्याएँ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hyperlink r:id="rId20">
        <w:r>
          <w:rPr>
            <w:lang w:val="hi_IN" w:bidi="hi_IN"/>
          </w:rPr>
          <w:rPr>
            <w:color w:val="0000EE"/>
            <w:u w:val="single"/>
          </w:rPr>
          <w:t>7:1–40</w:t>
        </w:r>
      </w:hyperlink>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hyperlink r:id="rId21">
        <w:r>
          <w:rPr>
            <w:lang w:val="hi_IN" w:bidi="hi_IN"/>
          </w:rPr>
          <w:rPr>
            <w:color w:val="0000EE"/>
            <w:u w:val="single"/>
          </w:rPr>
          <w:t>8:1–10:33</w:t>
        </w:r>
      </w:hyperlink>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hyperlink r:id="rId23">
        <w:r>
          <w:rPr>
            <w:lang w:val="hi_IN" w:bidi="hi_IN"/>
          </w:rPr>
          <w:rPr>
            <w:color w:val="0000EE"/>
            <w:u w:val="single"/>
          </w:rPr>
          <w:t>12:1–14:40</w:t>
        </w:r>
      </w:hyperlink>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hyperlink r:id="rId24">
        <w:r>
          <w:rPr>
            <w:lang w:val="hi_IN" w:bidi="hi_IN"/>
          </w:rPr>
          <w:rPr>
            <w:color w:val="0000EE"/>
            <w:u w:val="single"/>
          </w:rPr>
          <w:t>15:1–58</w:t>
        </w:r>
      </w:hyperlink>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hyperlink r:id="rId25">
        <w:r>
          <w:rPr>
            <w:lang w:val="hi_IN" w:bidi="hi_IN"/>
          </w:rPr>
          <w:rPr>
            <w:color w:val="0000EE"/>
            <w:u w:val="single"/>
          </w:rPr>
          <w:t>14:34–35</w:t>
        </w:r>
      </w:hyperlink>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6">
        <w:r>
          <w:rPr>
            <w:lang w:val="hi_IN" w:bidi="hi_IN"/>
          </w:rPr>
          <w:rPr>
            <w:color w:val="0000EE"/>
            <w:u w:val="single"/>
          </w:rPr>
          <w:t>16:21</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hyperlink r:id="rId27">
        <w:r>
          <w:rPr>
            <w:lang w:val="hi_IN" w:bidi="hi_IN"/>
          </w:rPr>
          <w:rPr>
            <w:color w:val="0000EE"/>
            <w:u w:val="single"/>
          </w:rPr>
          <w:t>प्रेरि 19:1–41</w:t>
        </w:r>
      </w:hyperlink>
      <w:r>
        <w:rPr>
          <w:lang w:val="hi_IN" w:bidi="hi_IN"/>
        </w:rPr>
        <w:t xml:space="preserve">)। पौलुस ने कुरिन्थुस की कलीसिया को पहले भी एक पत्र लिखा था (देखें </w:t>
      </w:r>
      <w:hyperlink r:id="rId28">
        <w:r>
          <w:rPr>
            <w:lang w:val="hi_IN" w:bidi="hi_IN"/>
          </w:rPr>
          <w:rPr>
            <w:color w:val="0000EE"/>
            <w:u w:val="single"/>
          </w:rPr>
          <w:t>1 कुरि 5:9</w:t>
        </w:r>
      </w:hyperlink>
      <w:r>
        <w:rPr>
          <w:lang w:val="hi_IN" w:bidi="hi_IN"/>
        </w:rPr>
        <w:t xml:space="preserve">), और कुरिन्थियों ने उन्हें कई मुद्दों पर सलाह मांगते हुए उत्तर दिया था (देखें, उदाहरण के लिए, </w:t>
      </w:r>
      <w:hyperlink r:id="rId29">
        <w:r>
          <w:rPr>
            <w:lang w:val="hi_IN" w:bidi="hi_IN"/>
          </w:rPr>
          <w:rPr>
            <w:color w:val="0000EE"/>
            <w:u w:val="single"/>
          </w:rPr>
          <w:t>7:1</w:t>
        </w:r>
      </w:hyperlink>
      <w:r>
        <w:rPr>
          <w:lang w:val="hi_IN" w:bidi="hi_IN"/>
        </w:rPr>
        <w:t xml:space="preserve">)। उन्हें कुरिन्थुस की जानकारी और आगंतुक भी मिले थे (देखें </w:t>
      </w:r>
      <w:hyperlink r:id="rId30">
        <w:r>
          <w:rPr>
            <w:lang w:val="hi_IN" w:bidi="hi_IN"/>
          </w:rPr>
          <w:rPr>
            <w:color w:val="0000EE"/>
            <w:u w:val="single"/>
          </w:rPr>
          <w:t>1:11</w:t>
        </w:r>
      </w:hyperlink>
      <w:r>
        <w:rPr>
          <w:lang w:val="hi_IN" w:bidi="hi_IN"/>
        </w:rPr>
        <w:t xml:space="preserve">; </w:t>
      </w:r>
      <w:hyperlink r:id="rId31">
        <w:r>
          <w:rPr>
            <w:lang w:val="hi_IN" w:bidi="hi_IN"/>
          </w:rPr>
          <w:rPr>
            <w:color w:val="0000EE"/>
            <w:u w:val="single"/>
          </w:rPr>
          <w:t>16:15–17</w:t>
        </w:r>
      </w:hyperlink>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hyperlink r:id="rId31">
        <w:r>
          <w:rPr>
            <w:lang w:val="hi_IN" w:bidi="hi_IN"/>
          </w:rPr>
          <w:rPr>
            <w:color w:val="0000EE"/>
            <w:u w:val="single"/>
          </w:rPr>
          <w:t>16:15–17</w:t>
        </w:r>
      </w:hyperlink>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2">
        <w:r>
          <w:rPr>
            <w:lang w:val="hi_IN" w:bidi="hi_IN"/>
          </w:rPr>
          <w:rPr>
            <w:color w:val="0000EE"/>
            <w:u w:val="single"/>
          </w:rPr>
          <w:t>2 कुरि 2:1–11</w:t>
        </w:r>
      </w:hyperlink>
      <w:r>
        <w:rPr>
          <w:lang w:val="hi_IN" w:bidi="hi_IN"/>
        </w:rPr>
        <w:t xml:space="preserve">; </w:t>
      </w:r>
      <w:hyperlink r:id="rId33">
        <w:r>
          <w:rPr>
            <w:lang w:val="hi_IN" w:bidi="hi_IN"/>
          </w:rPr>
          <w:rPr>
            <w:color w:val="0000EE"/>
            <w:u w:val="single"/>
          </w:rPr>
          <w:t>7:8–10</w:t>
        </w:r>
      </w:hyperlink>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hyperlink r:id="rId34">
        <w:r>
          <w:rPr>
            <w:lang w:val="hi_IN" w:bidi="hi_IN"/>
          </w:rPr>
          <w:rPr>
            <w:color w:val="0000EE"/>
            <w:u w:val="single"/>
          </w:rPr>
          <w:t>5:1–6:20</w:t>
        </w:r>
      </w:hyperlink>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5">
        <w:r>
          <w:rPr>
            <w:lang w:val="hi_IN" w:bidi="hi_IN"/>
          </w:rPr>
          <w:rPr>
            <w:color w:val="0000EE"/>
            <w:u w:val="single"/>
          </w:rPr>
          <w:t>6:15–20</w:t>
        </w:r>
      </w:hyperlink>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hyperlink r:id="rId36">
        <w:r>
          <w:rPr>
            <w:lang w:val="hi_IN" w:bidi="hi_IN"/>
          </w:rPr>
          <w:rPr>
            <w:color w:val="0000EE"/>
            <w:u w:val="single"/>
          </w:rPr>
          <w:t>6:1–8</w:t>
        </w:r>
      </w:hyperlink>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hyperlink r:id="rId20">
        <w:r>
          <w:rPr>
            <w:lang w:val="hi_IN" w:bidi="hi_IN"/>
          </w:rPr>
          <w:rPr>
            <w:color w:val="0000EE"/>
            <w:u w:val="single"/>
          </w:rPr>
          <w:t>7:1–40</w:t>
        </w:r>
      </w:hyperlink>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hyperlink r:id="rId37">
        <w:r>
          <w:rPr>
            <w:lang w:val="hi_IN" w:bidi="hi_IN"/>
          </w:rPr>
          <w:rPr>
            <w:color w:val="0000EE"/>
            <w:u w:val="single"/>
          </w:rPr>
          <w:t>8:1–13</w:t>
        </w:r>
      </w:hyperlink>
      <w:r>
        <w:rPr>
          <w:lang w:val="hi_IN" w:bidi="hi_IN"/>
        </w:rPr>
        <w:t xml:space="preserve">; </w:t>
      </w:r>
      <w:hyperlink r:id="rId38">
        <w:r>
          <w:rPr>
            <w:lang w:val="hi_IN" w:bidi="hi_IN"/>
          </w:rPr>
          <w:rPr>
            <w:color w:val="0000EE"/>
            <w:u w:val="single"/>
          </w:rPr>
          <w:t>10:1–11:1</w:t>
        </w:r>
      </w:hyperlink>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39">
        <w:r>
          <w:rPr>
            <w:lang w:val="hi_IN" w:bidi="hi_IN"/>
          </w:rPr>
          <w:rPr>
            <w:color w:val="0000EE"/>
            <w:u w:val="single"/>
          </w:rPr>
          <w:t>10:31–33</w:t>
        </w:r>
      </w:hyperlink>
      <w:r>
        <w:rPr>
          <w:lang w:val="hi_IN" w:bidi="hi_IN"/>
        </w:rPr>
        <w:t>)। यह पौलुस का यीशु की दो महान प्रेम आज्ञाओं के समकक्ष है (</w:t>
      </w:r>
      <w:hyperlink r:id="rId40">
        <w:r>
          <w:rPr>
            <w:lang w:val="hi_IN" w:bidi="hi_IN"/>
          </w:rPr>
          <w:rPr>
            <w:color w:val="0000EE"/>
            <w:u w:val="single"/>
          </w:rPr>
          <w:t>मत्ती 22:36–40</w:t>
        </w:r>
      </w:hyperlink>
      <w:r>
        <w:rPr>
          <w:lang w:val="hi_IN" w:bidi="hi_IN"/>
        </w:rPr>
        <w:t xml:space="preserve">; </w:t>
      </w:r>
      <w:hyperlink r:id="rId41">
        <w:r>
          <w:rPr>
            <w:lang w:val="hi_IN" w:bidi="hi_IN"/>
          </w:rPr>
          <w:rPr>
            <w:color w:val="0000EE"/>
            <w:u w:val="single"/>
          </w:rPr>
          <w:t>लूका 10:25–37</w:t>
        </w:r>
      </w:hyperlink>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hyperlink r:id="rId18">
        <w:r>
          <w:rPr>
            <w:lang w:val="hi_IN" w:bidi="hi_IN"/>
          </w:rPr>
          <w:rPr>
            <w:color w:val="0000EE"/>
            <w:u w:val="single"/>
          </w:rPr>
          <w:t>1 कुरि 1:1–4:21</w:t>
        </w:r>
      </w:hyperlink>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2">
        <w:r>
          <w:rPr>
            <w:lang w:val="hi_IN" w:bidi="hi_IN"/>
          </w:rPr>
          <w:rPr>
            <w:color w:val="0000EE"/>
            <w:u w:val="single"/>
          </w:rPr>
          <w:t>1:10–4:21</w:t>
        </w:r>
      </w:hyperlink>
      <w:r>
        <w:rPr>
          <w:lang w:val="hi_IN" w:bidi="hi_IN"/>
        </w:rPr>
        <w:t xml:space="preserve">, कलीसिया में गुट; </w:t>
      </w:r>
      <w:hyperlink r:id="rId43">
        <w:r>
          <w:rPr>
            <w:lang w:val="hi_IN" w:bidi="hi_IN"/>
          </w:rPr>
          <w:rPr>
            <w:color w:val="0000EE"/>
            <w:u w:val="single"/>
          </w:rPr>
          <w:t>6:1–12</w:t>
        </w:r>
      </w:hyperlink>
      <w:r>
        <w:rPr>
          <w:lang w:val="hi_IN" w:bidi="hi_IN"/>
        </w:rPr>
        <w:t xml:space="preserve">, साथी मसीही के खिलाफ मुकदमे; </w:t>
      </w:r>
      <w:hyperlink r:id="rId44">
        <w:r>
          <w:rPr>
            <w:lang w:val="hi_IN" w:bidi="hi_IN"/>
          </w:rPr>
          <w:rPr>
            <w:color w:val="0000EE"/>
            <w:u w:val="single"/>
          </w:rPr>
          <w:t>8:1–11:1</w:t>
        </w:r>
      </w:hyperlink>
      <w:r>
        <w:rPr>
          <w:lang w:val="hi_IN" w:bidi="hi_IN"/>
        </w:rPr>
        <w:t xml:space="preserve">, मूर्तियों को अर्पित भोजन पर विभिन्न विचार; </w:t>
      </w:r>
      <w:hyperlink r:id="rId45">
        <w:r>
          <w:rPr>
            <w:lang w:val="hi_IN" w:bidi="hi_IN"/>
          </w:rPr>
          <w:rPr>
            <w:color w:val="0000EE"/>
            <w:u w:val="single"/>
          </w:rPr>
          <w:t>11:2–16</w:t>
        </w:r>
      </w:hyperlink>
      <w:r>
        <w:rPr>
          <w:lang w:val="hi_IN" w:bidi="hi_IN"/>
        </w:rPr>
        <w:t xml:space="preserve">, सार्वजनिक रूप से सेवा करने वाली स्त्रीओं के लिए उपयुक्त पोशाक पर विभिन्न विचार; </w:t>
      </w:r>
      <w:hyperlink r:id="rId46">
        <w:r>
          <w:rPr>
            <w:lang w:val="hi_IN" w:bidi="hi_IN"/>
          </w:rPr>
          <w:rPr>
            <w:color w:val="0000EE"/>
            <w:u w:val="single"/>
          </w:rPr>
          <w:t>11:17–34</w:t>
        </w:r>
      </w:hyperlink>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7">
        <w:r>
          <w:rPr>
            <w:lang w:val="hi_IN" w:bidi="hi_IN"/>
          </w:rPr>
          <w:rPr>
            <w:color w:val="0000EE"/>
            <w:u w:val="single"/>
          </w:rPr>
          <w:t>13</w:t>
        </w:r>
      </w:hyperlink>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48">
        <w:r>
          <w:rPr>
            <w:lang w:val="hi_IN" w:bidi="hi_IN"/>
          </w:rPr>
          <w:rPr>
            <w:color w:val="0000EE"/>
            <w:u w:val="single"/>
          </w:rPr>
          <w:t>7:25–31</w:t>
        </w:r>
      </w:hyperlink>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49">
        <w:r>
          <w:rPr>
            <w:lang w:val="hi_IN" w:bidi="hi_IN"/>
          </w:rPr>
          <w:rPr>
            <w:color w:val="0000EE"/>
            <w:u w:val="single"/>
          </w:rPr>
          <w:t>7:32–35</w:t>
        </w:r>
      </w:hyperlink>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0">
        <w:r>
          <w:rPr>
            <w:lang w:val="hi_IN" w:bidi="hi_IN"/>
          </w:rPr>
          <w:rPr>
            <w:color w:val="0000EE"/>
            <w:u w:val="single"/>
          </w:rPr>
          <w:t>10–11</w:t>
        </w:r>
      </w:hyperlink>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1">
        <w:r>
          <w:rPr>
            <w:lang w:val="hi_IN" w:bidi="hi_IN"/>
          </w:rPr>
          <w:rPr>
            <w:color w:val="0000EE"/>
            <w:u w:val="single"/>
          </w:rPr>
          <w:t>12</w:t>
        </w:r>
      </w:hyperlink>
      <w:r>
        <w:rPr>
          <w:lang w:val="hi_IN" w:bidi="hi_IN"/>
        </w:rPr>
        <w:t xml:space="preserve">, </w:t>
      </w:r>
      <w:hyperlink r:id="rId52">
        <w:r>
          <w:rPr>
            <w:lang w:val="hi_IN" w:bidi="hi_IN"/>
          </w:rPr>
          <w:rPr>
            <w:color w:val="0000EE"/>
            <w:u w:val="single"/>
          </w:rPr>
          <w:t>14</w:t>
        </w:r>
      </w:hyperlink>
      <w:r>
        <w:rPr>
          <w:lang w:val="hi_IN" w:bidi="hi_IN"/>
        </w:rP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pPr/>
      <w:r>
        <w:rPr>
          <w:lang w:val="hi_IN" w:bidi="hi_IN"/>
        </w:rPr>
      </w:r>
      <w:r>
        <w:rPr>
          <w:lang w:val="hi_IN" w:bidi="hi_IN"/>
        </w:rPr>
        <w:t xml:space="preserve">पुनरुत्थान। नए नियम के लेखनों में, यह पत्र हमें पुनरुत्थान (अध्याय </w:t>
      </w:r>
      <w:hyperlink r:id="rId24">
        <w:r>
          <w:rPr>
            <w:lang w:val="hi_IN" w:bidi="hi_IN"/>
          </w:rPr>
          <w:rPr>
            <w:color w:val="0000EE"/>
            <w:u w:val="single"/>
          </w:rPr>
          <w:t>15</w:t>
        </w:r>
      </w:hyperlink>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