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r>
        <w:rPr>
          <w:lang w:val="fr_FR" w:bidi="fr_FR"/>
        </w:rPr>
        <w:t>3.8–10</w:t>
      </w:r>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r>
        <w:rPr>
          <w:lang w:val="fr_FR" w:bidi="fr_FR"/>
        </w:rPr>
        <w:t>2Ch 33.10–11</w:t>
      </w:r>
      <w:r>
        <w:rPr>
          <w:lang w:val="fr_FR" w:bidi="fr_FR"/>
        </w:rPr>
        <w:t>). Après sa libération de captivité, Manassé, qui s’est repenti (</w:t>
      </w:r>
      <w:r>
        <w:rPr>
          <w:lang w:val="fr_FR" w:bidi="fr_FR"/>
        </w:rPr>
        <w:t>2Ch 33.12–17</w:t>
      </w:r>
      <w:r>
        <w:rPr>
          <w:lang w:val="fr_FR" w:bidi="fr_FR"/>
        </w:rPr>
        <w:t>), tente de réparer ses erreurs (</w:t>
      </w:r>
      <w:r>
        <w:rPr>
          <w:lang w:val="fr_FR" w:bidi="fr_FR"/>
        </w:rPr>
        <w:t>2R 21.1–18</w:t>
      </w:r>
      <w:r>
        <w:rPr>
          <w:lang w:val="fr_FR" w:bidi="fr_FR"/>
        </w:rPr>
        <w:t xml:space="preserve"> ; </w:t>
      </w:r>
      <w:r>
        <w:rPr>
          <w:lang w:val="fr_FR" w:bidi="fr_FR"/>
        </w:rPr>
        <w:t>2Ch 33.1–9</w:t>
      </w:r>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r>
        <w:rPr>
          <w:lang w:val="fr_FR" w:bidi="fr_FR"/>
        </w:rPr>
        <w:t>1.2–6</w:t>
      </w:r>
      <w:r>
        <w:rPr>
          <w:lang w:val="fr_FR" w:bidi="fr_FR"/>
        </w:rPr>
        <w:t xml:space="preserve"> et </w:t>
      </w:r>
      <w:r>
        <w:rPr>
          <w:lang w:val="fr_FR" w:bidi="fr_FR"/>
        </w:rPr>
        <w:t>1.7–11</w:t>
      </w:r>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r>
        <w:rPr>
          <w:lang w:val="fr_FR" w:bidi="fr_FR"/>
        </w:rPr>
        <w:t>1.12–15</w:t>
      </w:r>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r>
        <w:rPr>
          <w:lang w:val="fr_FR" w:bidi="fr_FR"/>
        </w:rPr>
        <w:t>2.1–2</w:t>
      </w:r>
      <w:r>
        <w:rPr>
          <w:lang w:val="fr_FR" w:bidi="fr_FR"/>
        </w:rPr>
        <w:t>), Nahum décrit la chute de la capitale assyrienne dans deux descriptions poignantes (</w:t>
      </w:r>
      <w:r>
        <w:rPr>
          <w:lang w:val="fr_FR" w:bidi="fr_FR"/>
        </w:rPr>
        <w:t>2.3–10</w:t>
      </w:r>
      <w:r>
        <w:rPr>
          <w:lang w:val="fr_FR" w:bidi="fr_FR"/>
        </w:rPr>
        <w:t xml:space="preserve"> ; </w:t>
      </w:r>
      <w:r>
        <w:rPr>
          <w:lang w:val="fr_FR" w:bidi="fr_FR"/>
        </w:rPr>
        <w:t>3.1–7</w:t>
      </w:r>
      <w:r>
        <w:rPr>
          <w:lang w:val="fr_FR" w:bidi="fr_FR"/>
        </w:rPr>
        <w:t>). Entre les deux récits, Nahum contemple la destruction de Ninive dans une brève chanson moqueuse. Avec une satire mordante, il déclare l’intention de Dieu de mettre fin à la cupidité de la fière Ninive (</w:t>
      </w:r>
      <w:r>
        <w:rPr>
          <w:lang w:val="fr_FR" w:bidi="fr_FR"/>
        </w:rPr>
        <w:t>2.11–13</w:t>
      </w:r>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r>
        <w:rPr>
          <w:lang w:val="fr_FR" w:bidi="fr_FR"/>
        </w:rPr>
        <w:t>3.8–13</w:t>
      </w:r>
      <w:r>
        <w:rPr>
          <w:lang w:val="fr_FR" w:bidi="fr_FR"/>
        </w:rPr>
        <w:t>), détruite par l’Assyrie. Nahum termine sa prophétie par une satire (</w:t>
      </w:r>
      <w:r>
        <w:rPr>
          <w:lang w:val="fr_FR" w:bidi="fr_FR"/>
        </w:rPr>
        <w:t>3.14–19</w:t>
      </w:r>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r>
        <w:rPr>
          <w:lang w:val="fr_FR" w:bidi="fr_FR"/>
        </w:rPr>
        <w:t>1.1</w:t>
      </w:r>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r>
        <w:rPr>
          <w:lang w:val="fr_FR" w:bidi="fr_FR"/>
        </w:rPr>
        <w:t>3.10</w:t>
      </w:r>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r>
        <w:rPr>
          <w:lang w:val="fr_FR" w:bidi="fr_FR"/>
        </w:rPr>
        <w:t>2Ch 33.12–16</w:t>
      </w:r>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r>
        <w:rPr>
          <w:lang w:val="fr_FR" w:bidi="fr_FR"/>
        </w:rPr>
        <w:t>1.3</w:t>
      </w:r>
      <w:r>
        <w:rPr>
          <w:lang w:val="fr_FR" w:bidi="fr_FR"/>
        </w:rPr>
        <w:t>), et son peuple doit être patient. L’assurance que ce Seigneur bon et attentionné (</w:t>
      </w:r>
      <w:r>
        <w:rPr>
          <w:lang w:val="fr_FR" w:bidi="fr_FR"/>
        </w:rPr>
        <w:t>1.7</w:t>
      </w:r>
      <w:r>
        <w:rPr>
          <w:lang w:val="fr_FR" w:bidi="fr_FR"/>
        </w:rPr>
        <w:t>) a un but précis pour son peuple (</w:t>
      </w:r>
      <w:r>
        <w:rPr>
          <w:lang w:val="fr_FR" w:bidi="fr_FR"/>
        </w:rPr>
        <w:t>2.2</w:t>
      </w:r>
      <w:r>
        <w:rPr>
          <w:lang w:val="fr_FR" w:bidi="fr_FR"/>
        </w:rPr>
        <w:t>) les encourage à mener une vie de foi et de confiance. Derrière le ton menaçant du livre se trouve la bonne nouvelle de l’espoir (</w:t>
      </w:r>
      <w:r>
        <w:rPr>
          <w:lang w:val="fr_FR" w:bidi="fr_FR"/>
        </w:rPr>
        <w:t>1.15</w:t>
      </w:r>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r>
        <w:rPr>
          <w:lang w:val="fr_FR" w:bidi="fr_FR"/>
        </w:rPr>
        <w:t>Rm 10.15</w:t>
      </w:r>
      <w:r>
        <w:rPr>
          <w:lang w:val="fr_FR" w:bidi="fr_FR"/>
        </w:rPr>
        <w:t xml:space="preserve"> ; voir aussi </w:t>
      </w:r>
      <w:r>
        <w:rPr>
          <w:lang w:val="fr_FR" w:bidi="fr_FR"/>
        </w:rPr>
        <w:t>Es 52.7</w:t>
      </w:r>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