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2"/>
      </w:pPr>
      <w:r>
        <w:rPr>
          <w:lang w:val="fr_FR" w:bidi="fr_FR"/>
        </w:rPr>
        <w:t>Contexte</w:t>
      </w:r>
    </w:p>
    <w:p>
      <w:pPr/>
      <w:r>
        <w:rPr>
          <w:lang w:val="fr_FR" w:bidi="fr_FR"/>
        </w:rPr>
      </w:r>
      <w:r>
        <w:rPr>
          <w:lang w:val="fr_FR" w:bidi="fr_FR"/>
        </w:rP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pPr/>
      <w:r>
        <w:rPr>
          <w:lang w:val="fr_FR" w:bidi="fr_FR"/>
        </w:rPr>
      </w:r>
      <w:r>
        <w:rPr>
          <w:lang w:val="fr_FR" w:bidi="fr_FR"/>
        </w:rP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r>
        <w:rPr>
          <w:lang w:val="fr_FR" w:bidi="fr_FR"/>
        </w:rPr>
        <w:t>4.1–3</w:t>
      </w:r>
      <w:r>
        <w:rPr>
          <w:lang w:val="fr_FR" w:bidi="fr_FR"/>
        </w:rPr>
        <w:t xml:space="preserve">). </w:t>
      </w:r>
    </w:p>
    <w:p>
      <w:pPr/>
      <w:r>
        <w:rPr>
          <w:lang w:val="fr_FR" w:bidi="fr_FR"/>
        </w:rPr>
      </w:r>
      <w:r>
        <w:rPr>
          <w:lang w:val="fr_FR" w:bidi="fr_FR"/>
        </w:rPr>
        <w:t>En se coupant de la communion apostolique, ces dissidents ont démontré qu’ils n’appartenaient pas véritablement à la famille de Dieu (</w:t>
      </w:r>
      <w:r>
        <w:rPr>
          <w:lang w:val="fr_FR" w:bidi="fr_FR"/>
        </w:rPr>
        <w:t>2.18–19</w:t>
      </w:r>
      <w:r>
        <w:rPr>
          <w:lang w:val="fr_FR" w:bidi="fr_FR"/>
        </w:rPr>
        <w:t>). Cependant, leur influence restait vive dans l’esprit de plusieurs croyants. C’est pourquoi Jean a écrit cette lettre : pour dissiper les mensonges, rappeler les fondements de la foi chrétienne, et affermir la communauté dans la vérité.</w:t>
      </w:r>
    </w:p>
    <w:p>
      <w:pPr/>
      <w:r>
        <w:rPr>
          <w:lang w:val="fr_FR" w:bidi="fr_FR"/>
        </w:rPr>
      </w:r>
      <w:r>
        <w:rPr>
          <w:lang w:val="fr_FR" w:bidi="fr_FR"/>
        </w:rP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r>
        <w:rPr>
          <w:lang w:val="fr_FR" w:bidi="fr_FR"/>
        </w:rPr>
        <w:t>5.5–8</w:t>
      </w:r>
      <w:r>
        <w:rPr>
          <w:lang w:val="fr_FR" w:bidi="fr_FR"/>
        </w:rPr>
        <w:t>.</w:t>
      </w:r>
    </w:p>
    <w:p>
      <w:pPr/>
      <w:r>
        <w:rPr>
          <w:lang w:val="fr_FR" w:bidi="fr_FR"/>
        </w:rPr>
      </w:r>
      <w:r>
        <w:rPr>
          <w:lang w:val="fr_FR" w:bidi="fr_FR"/>
        </w:rPr>
        <w:t xml:space="preserve">Cette première lettre a été envoyée vers 85–90 apr. J.-C., aux églises placées sous la responsabilité de Jean, dont celles mentionnées dans </w:t>
      </w:r>
      <w:r>
        <w:rPr>
          <w:lang w:val="fr_FR" w:bidi="fr_FR"/>
        </w:rPr>
        <w:t>Ap 1.11</w:t>
      </w:r>
      <w:r>
        <w:rPr>
          <w:lang w:val="fr_FR" w:bidi="fr_FR"/>
        </w:rPr>
        <w:t>.</w:t>
      </w:r>
    </w:p>
    <w:p>
      <w:pPr>
        <w:pStyle w:val="Heading2"/>
      </w:pPr>
      <w:r>
        <w:rPr>
          <w:lang w:val="fr_FR" w:bidi="fr_FR"/>
        </w:rPr>
        <w:t>Résumé</w:t>
      </w:r>
    </w:p>
    <w:p>
      <w:pPr/>
      <w:r>
        <w:rPr>
          <w:lang w:val="fr_FR" w:bidi="fr_FR"/>
        </w:rPr>
      </w:r>
      <w:r>
        <w:rPr>
          <w:lang w:val="fr_FR" w:bidi="fr_FR"/>
        </w:rP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numPr>
          <w:ilvl w:val="0"/>
          <w:numId w:val="14"/>
        </w:numPr>
        <w:spacing w:line="240" w:lineRule="auto"/>
        <w:ind w:left="720"/>
      </w:pPr>
      <w:r>
        <w:rPr>
          <w:lang w:val="fr_FR" w:bidi="fr_FR"/>
        </w:rPr>
      </w:r>
      <w:r>
        <w:rPr>
          <w:lang w:val="fr_FR" w:bidi="fr_FR"/>
        </w:rPr>
        <w:t>Maintenir la communion avec les apôtres, afin d’être aussi en communion avec Dieu, qui est lumière, en marchant dans la lumière qu’il donne ;</w:t>
      </w:r>
    </w:p>
    <w:p>
      <w:pPr>
        <w:pStyle w:val="ListNumber"/>
        <w:spacing w:line="240" w:lineRule="auto"/>
        <w:ind w:left="720"/>
      </w:pPr>
      <w:r>
        <w:rPr>
          <w:lang w:val="fr_FR" w:bidi="fr_FR"/>
        </w:rPr>
      </w:r>
      <w:r>
        <w:rPr>
          <w:lang w:val="fr_FR" w:bidi="fr_FR"/>
        </w:rPr>
        <w:t>Confesser leurs péchés à Dieu, afin de bénéficier du soutien et de l’intercession de Jésus-Christ, le juste ;</w:t>
      </w:r>
    </w:p>
    <w:p>
      <w:pPr>
        <w:pStyle w:val="ListNumber"/>
        <w:spacing w:line="240" w:lineRule="auto"/>
        <w:ind w:left="720"/>
      </w:pPr>
      <w:r>
        <w:rPr>
          <w:lang w:val="fr_FR" w:bidi="fr_FR"/>
        </w:rPr>
      </w:r>
      <w:r>
        <w:rPr>
          <w:lang w:val="fr_FR" w:bidi="fr_FR"/>
        </w:rPr>
        <w:t>Reconnaître Jésus-Christ comme la Parole de vie, le Fils de Dieu ;</w:t>
      </w:r>
    </w:p>
    <w:p>
      <w:pPr>
        <w:pStyle w:val="ListNumber"/>
        <w:spacing w:line="240" w:lineRule="auto"/>
        <w:ind w:left="720"/>
      </w:pPr>
      <w:r>
        <w:rPr>
          <w:lang w:val="fr_FR" w:bidi="fr_FR"/>
        </w:rPr>
      </w:r>
      <w:r>
        <w:rPr>
          <w:lang w:val="fr_FR" w:bidi="fr_FR"/>
        </w:rPr>
        <w:t>Aimez Dieu, qui est amour, et aimez les autres chrétiens.</w:t>
      </w:r>
    </w:p>
    <w:p>
      <w:pPr>
        <w:pStyle w:val="ListNumber"/>
        <w:spacing w:line="240" w:lineRule="auto"/>
        <w:ind w:left="720"/>
      </w:pPr>
      <w:r>
        <w:rPr>
          <w:lang w:val="fr_FR" w:bidi="fr_FR"/>
        </w:rPr>
      </w:r>
      <w:r>
        <w:rPr>
          <w:lang w:val="fr_FR" w:bidi="fr_FR"/>
        </w:rPr>
        <w:t>Demeurer en Christ, devenir semblables à lui et se purifier des convoitises du monde ;</w:t>
      </w:r>
    </w:p>
    <w:p>
      <w:pPr>
        <w:pStyle w:val="ListNumber"/>
        <w:spacing w:line="240" w:lineRule="auto"/>
        <w:ind w:left="720"/>
      </w:pPr>
      <w:r>
        <w:rPr>
          <w:lang w:val="fr_FR" w:bidi="fr_FR"/>
        </w:rPr>
      </w:r>
      <w:r>
        <w:rPr>
          <w:lang w:val="fr_FR" w:bidi="fr_FR"/>
        </w:rPr>
        <w:t>Connaître Dieu personnellement, expérimenter sa présence et comprendre la vérité par l’action du Saint-Esprit ;</w:t>
      </w:r>
    </w:p>
    <w:p>
      <w:pPr>
        <w:pStyle w:val="ListNumber"/>
        <w:spacing w:line="240" w:lineRule="auto"/>
        <w:ind w:left="720"/>
      </w:pPr>
      <w:r>
        <w:rPr>
          <w:lang w:val="fr_FR" w:bidi="fr_FR"/>
        </w:rPr>
      </w:r>
      <w:r>
        <w:rPr>
          <w:lang w:val="fr_FR" w:bidi="fr_FR"/>
        </w:rPr>
        <w:t>Discerner les faux enseignements avec l’aide de l’Esprit, et reconnaître l’esprit des faux prophètes, en particulier celui de l’antéchrist (celui qui nie que Jésus est le Christ) ;</w:t>
      </w:r>
    </w:p>
    <w:p>
      <w:pPr>
        <w:pStyle w:val="ListNumber"/>
        <w:spacing w:line="240" w:lineRule="auto"/>
        <w:ind w:left="720"/>
      </w:pPr>
      <w:r>
        <w:rPr>
          <w:lang w:val="fr_FR" w:bidi="fr_FR"/>
        </w:rPr>
      </w:r>
      <w:r>
        <w:rPr>
          <w:lang w:val="fr_FR" w:bidi="fr_FR"/>
        </w:rPr>
        <w:t>Vivre dans l’assurance de la vie éternelle.</w:t>
      </w:r>
    </w:p>
    <w:p>
      <w:pPr>
        <w:pStyle w:val="Heading2"/>
      </w:pPr>
      <w:r>
        <w:rPr>
          <w:lang w:val="fr_FR" w:bidi="fr_FR"/>
        </w:rPr>
        <w:t>Auteur</w:t>
      </w:r>
    </w:p>
    <w:p>
      <w:pPr/>
      <w:r>
        <w:rPr>
          <w:lang w:val="fr_FR" w:bidi="fr_FR"/>
        </w:rPr>
      </w:r>
      <w:r>
        <w:rPr>
          <w:lang w:val="fr_FR" w:bidi="fr_FR"/>
        </w:rPr>
        <w:t xml:space="preserve">Certains spécialistes ont suggéré qu’un ancien chrétien nommé Jean, mais distinct de l’apôtre, avait écrit les lettres de 1 à 3 Jean (voir </w:t>
      </w:r>
      <w:r>
        <w:rPr>
          <w:lang w:val="fr_FR" w:bidi="fr_FR"/>
        </w:rPr>
        <w:t>2Jn 1.1</w:t>
      </w:r>
      <w:r>
        <w:rPr>
          <w:lang w:val="fr_FR" w:bidi="fr_FR"/>
        </w:rPr>
        <w:t xml:space="preserve"> ; </w:t>
      </w:r>
      <w:r>
        <w:rPr>
          <w:lang w:val="fr_FR" w:bidi="fr_FR"/>
        </w:rPr>
        <w:t>3Jn 1.1</w:t>
      </w:r>
      <w:r>
        <w:rPr>
          <w:lang w:val="fr_FR" w:bidi="fr_FR"/>
        </w:rPr>
        <w:t>). Ils fondent ce jugement sur une citation de Papias, évêque de Hiérapolis dans la province d’Asie entre 100 et 130 apr. J.-C. Ce dernier mentionnait Jean l’apôtre, puis plus loin, un certain « Jean l'ancien » :</w:t>
      </w:r>
    </w:p>
    <w:p>
      <w:pPr/>
      <w:r>
        <w:rPr>
          <w:lang w:val="fr_FR" w:bidi="fr_FR"/>
        </w:rPr>
      </w:r>
      <w:r>
        <w:rPr>
          <w:lang w:val="fr_FR" w:bidi="fr_FR"/>
        </w:rPr>
        <w:t>« Q</w:t>
      </w:r>
      <w:r>
        <w:rPr>
          <w:lang w:val="fr_FR" w:bidi="fr_FR"/>
        </w:rPr>
        <w:t>uand quelque part, je rencontrais</w:t>
      </w:r>
      <w:r>
        <w:rPr>
          <w:lang w:val="fr_FR" w:bidi="fr_FR"/>
        </w:rP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lang w:val="fr_FR" w:bidi="fr_FR"/>
        </w:rPr>
        <w:t xml:space="preserve"> </w:t>
      </w:r>
      <w:r>
        <w:rPr>
          <w:i/>
          <w:lang w:val="fr_FR" w:bidi="fr_FR"/>
        </w:rPr>
        <w:t>Histoire ecclésiastique</w:t>
      </w:r>
      <w:r>
        <w:rPr>
          <w:i/>
          <w:lang w:val="fr_FR" w:bidi="fr_FR"/>
        </w:rPr>
        <w:t xml:space="preserve"> </w:t>
      </w:r>
      <w:r>
        <w:rPr>
          <w:lang w:val="fr_FR" w:bidi="fr_FR"/>
        </w:rPr>
        <w:t>3.39.4)</w:t>
      </w:r>
    </w:p>
    <w:p>
      <w:pPr/>
      <w:r>
        <w:rPr>
          <w:lang w:val="fr_FR" w:bidi="fr_FR"/>
        </w:rPr>
      </w:r>
      <w:r>
        <w:rPr>
          <w:lang w:val="fr_FR" w:bidi="fr_FR"/>
        </w:rP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pPr/>
      <w:r>
        <w:rPr>
          <w:lang w:val="fr_FR" w:bidi="fr_FR"/>
        </w:rPr>
      </w:r>
      <w:r>
        <w:rPr>
          <w:lang w:val="fr_FR" w:bidi="fr_FR"/>
        </w:rP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r>
        <w:rPr>
          <w:lang w:val="fr_FR" w:bidi="fr_FR"/>
        </w:rPr>
        <w:t>Jn 13.23</w:t>
      </w:r>
      <w:r>
        <w:rPr>
          <w:lang w:val="fr_FR" w:bidi="fr_FR"/>
        </w:rPr>
        <w:t xml:space="preserve"> ; </w:t>
      </w:r>
      <w:r>
        <w:rPr>
          <w:lang w:val="fr_FR" w:bidi="fr_FR"/>
        </w:rPr>
        <w:t>19.26</w:t>
      </w:r>
      <w:r>
        <w:rPr>
          <w:lang w:val="fr_FR" w:bidi="fr_FR"/>
        </w:rPr>
        <w:t xml:space="preserve"> ; </w:t>
      </w:r>
      <w:r>
        <w:rPr>
          <w:lang w:val="fr_FR" w:bidi="fr_FR"/>
        </w:rPr>
        <w:t>20.2</w:t>
      </w:r>
      <w:r>
        <w:rPr>
          <w:lang w:val="fr_FR" w:bidi="fr_FR"/>
        </w:rPr>
        <w:t xml:space="preserve"> ; </w:t>
      </w:r>
      <w:r>
        <w:rPr>
          <w:lang w:val="fr_FR" w:bidi="fr_FR"/>
        </w:rPr>
        <w:t>21.7</w:t>
      </w:r>
      <w:r>
        <w:rPr>
          <w:lang w:val="fr_FR" w:bidi="fr_FR"/>
        </w:rPr>
        <w:t xml:space="preserve">, </w:t>
      </w:r>
      <w:r>
        <w:rPr>
          <w:lang w:val="fr_FR" w:bidi="fr_FR"/>
        </w:rPr>
        <w:t>20</w:t>
      </w:r>
      <w:r>
        <w:rPr>
          <w:lang w:val="fr_FR" w:bidi="fr_FR"/>
        </w:rPr>
        <w:t xml:space="preserve">). Il était l'un des douze disciples et un ami très proche de Jésus. La revendication de l'auteur d'être un témoin oculaire est aussi forte dans les lettres (voir </w:t>
      </w:r>
      <w:r>
        <w:rPr>
          <w:lang w:val="fr_FR" w:bidi="fr_FR"/>
        </w:rPr>
        <w:t>1Jn 1.1–4</w:t>
      </w:r>
      <w:r>
        <w:rPr>
          <w:lang w:val="fr_FR" w:bidi="fr_FR"/>
        </w:rPr>
        <w:t>) que dans l'Évangile (</w:t>
      </w:r>
      <w:r>
        <w:rPr>
          <w:lang w:val="fr_FR" w:bidi="fr_FR"/>
        </w:rPr>
        <w:t>Jn 1.14</w:t>
      </w:r>
      <w:r>
        <w:rPr>
          <w:lang w:val="fr_FR" w:bidi="fr_FR"/>
        </w:rPr>
        <w:t xml:space="preserve"> ; </w:t>
      </w:r>
      <w:r>
        <w:rPr>
          <w:lang w:val="fr_FR" w:bidi="fr_FR"/>
        </w:rPr>
        <w:t>19.35</w:t>
      </w:r>
      <w:r>
        <w:rPr>
          <w:lang w:val="fr_FR" w:bidi="fr_FR"/>
        </w:rPr>
        <w:t>). L'auteur de 1 Jean affirme avoir personnellement entendu, vu et touché la parole éternelle faite chair (</w:t>
      </w:r>
      <w:r>
        <w:rPr>
          <w:lang w:val="fr_FR" w:bidi="fr_FR"/>
        </w:rPr>
        <w:t>1Jn 1.1–4</w:t>
      </w:r>
      <w:r>
        <w:rPr>
          <w:lang w:val="fr_FR" w:bidi="fr_FR"/>
        </w:rPr>
        <w:t>). Il est raisonnable de conclure que « l'ancien » de 1–3 Jean est l'apôtre Jean.</w:t>
      </w:r>
    </w:p>
    <w:p>
      <w:pPr>
        <w:pStyle w:val="Heading2"/>
      </w:pPr>
      <w:r>
        <w:rPr>
          <w:lang w:val="fr_FR" w:bidi="fr_FR"/>
        </w:rPr>
        <w:t>Signification et message</w:t>
      </w:r>
    </w:p>
    <w:p>
      <w:pPr/>
      <w:r>
        <w:rPr>
          <w:lang w:val="fr_FR" w:bidi="fr_FR"/>
        </w:rPr>
      </w:r>
      <w:r>
        <w:rPr>
          <w:lang w:val="fr_FR" w:bidi="fr_FR"/>
        </w:rP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r>
        <w:rPr>
          <w:lang w:val="fr_FR" w:bidi="fr_FR"/>
        </w:rPr>
        <w:t>Jn 13.34</w:t>
      </w:r>
      <w:r>
        <w:rPr>
          <w:lang w:val="fr_FR" w:bidi="fr_FR"/>
        </w:rPr>
        <w:t xml:space="preserve"> ; </w:t>
      </w:r>
      <w:r>
        <w:rPr>
          <w:lang w:val="fr_FR" w:bidi="fr_FR"/>
        </w:rPr>
        <w:t>15.17</w:t>
      </w:r>
      <w:r>
        <w:rPr>
          <w:lang w:val="fr_FR" w:bidi="fr_FR"/>
        </w:rPr>
        <w:t>), revient souvent dans ses lettres (</w:t>
      </w:r>
      <w:r>
        <w:rPr>
          <w:lang w:val="fr_FR" w:bidi="fr_FR"/>
        </w:rPr>
        <w:t>1Jn 2.7</w:t>
      </w:r>
      <w:r>
        <w:rPr>
          <w:lang w:val="fr_FR" w:bidi="fr_FR"/>
        </w:rPr>
        <w:t xml:space="preserve"> ; </w:t>
      </w:r>
      <w:r>
        <w:rPr>
          <w:lang w:val="fr_FR" w:bidi="fr_FR"/>
        </w:rPr>
        <w:t>3.11</w:t>
      </w:r>
      <w:r>
        <w:rPr>
          <w:lang w:val="fr_FR" w:bidi="fr_FR"/>
        </w:rPr>
        <w:t xml:space="preserve">, </w:t>
      </w:r>
      <w:r>
        <w:rPr>
          <w:lang w:val="fr_FR" w:bidi="fr_FR"/>
        </w:rPr>
        <w:t>23</w:t>
      </w:r>
      <w:r>
        <w:rPr>
          <w:lang w:val="fr_FR" w:bidi="fr_FR"/>
        </w:rPr>
        <w:t xml:space="preserve"> ; </w:t>
      </w:r>
      <w:r>
        <w:rPr>
          <w:lang w:val="fr_FR" w:bidi="fr_FR"/>
        </w:rPr>
        <w:t>2Jn 1.5–6</w:t>
      </w:r>
      <w:r>
        <w:rPr>
          <w:lang w:val="fr_FR" w:bidi="fr_FR"/>
        </w:rPr>
        <w:t>). Puisque Dieu est amour, celui qui prétend le connaître est censé aimer aussi son prochain.</w:t>
      </w:r>
    </w:p>
    <w:p>
      <w:pPr/>
      <w:r>
        <w:rPr>
          <w:lang w:val="fr_FR" w:bidi="fr_FR"/>
        </w:rPr>
      </w:r>
      <w:r>
        <w:rPr>
          <w:lang w:val="fr_FR" w:bidi="fr_FR"/>
        </w:rP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pPr/>
      <w:r>
        <w:rPr>
          <w:lang w:val="fr_FR" w:bidi="fr_FR"/>
        </w:rPr>
      </w:r>
      <w:r>
        <w:rPr>
          <w:lang w:val="fr_FR" w:bidi="fr_FR"/>
        </w:rP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