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r>
        <w:rPr>
          <w:lang w:val="hi_IN" w:bidi="hi_IN"/>
        </w:rPr>
        <w:t>1 यूह 2:18–19</w:t>
      </w:r>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r>
        <w:rPr>
          <w:lang w:val="hi_IN" w:bidi="hi_IN"/>
        </w:rPr>
        <w:t>1:1–4</w:t>
      </w:r>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r>
        <w:rPr>
          <w:lang w:val="hi_IN" w:bidi="hi_IN"/>
        </w:rPr>
        <w:t>1:5–12</w:t>
      </w:r>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r>
        <w:rPr>
          <w:lang w:val="hi_IN" w:bidi="hi_IN"/>
        </w:rPr>
        <w:t>1:9–10</w:t>
      </w:r>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r>
        <w:rPr>
          <w:lang w:val="hi_IN" w:bidi="hi_IN"/>
        </w:rPr>
        <w:t>1:12</w:t>
      </w:r>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r>
        <w:rPr>
          <w:lang w:val="hi_IN" w:bidi="hi_IN"/>
        </w:rPr>
        <w:t>1:13–15</w:t>
      </w:r>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r>
        <w:rPr>
          <w:lang w:val="hi_IN" w:bidi="hi_IN"/>
        </w:rPr>
        <w:t>1:1</w:t>
      </w:r>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