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r>
        <w:rPr>
          <w:lang w:val="id_ID" w:bidi="id_ID"/>
        </w:rPr>
        <w:t>1 Sam. 16: 1–13</w:t>
      </w:r>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r>
        <w:rPr>
          <w:lang w:val="id_ID" w:bidi="id_ID"/>
        </w:rPr>
        <w:t>2 Sam. 5:17–25</w:t>
      </w:r>
      <w:r>
        <w:rPr>
          <w:lang w:val="id_ID" w:bidi="id_ID"/>
        </w:rPr>
        <w:t xml:space="preserve">; </w:t>
      </w:r>
      <w:r>
        <w:rPr>
          <w:lang w:val="id_ID" w:bidi="id_ID"/>
        </w:rPr>
        <w:t>21:15–22</w:t>
      </w:r>
      <w:r>
        <w:rPr>
          <w:lang w:val="id_ID" w:bidi="id_ID"/>
        </w:rPr>
        <w:t xml:space="preserve">; </w:t>
      </w:r>
      <w:r>
        <w:rPr>
          <w:lang w:val="id_ID" w:bidi="id_ID"/>
        </w:rPr>
        <w:t>23:9–17</w:t>
      </w:r>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r>
        <w:rPr>
          <w:lang w:val="id_ID" w:bidi="id_ID"/>
        </w:rPr>
        <w:t>1:1–27</w:t>
      </w:r>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r>
        <w:rPr>
          <w:lang w:val="id_ID" w:bidi="id_ID"/>
        </w:rPr>
        <w:t>3:22–4:12</w:t>
      </w:r>
      <w:r>
        <w:rPr>
          <w:lang w:val="id_ID" w:bidi="id_ID"/>
        </w:rPr>
        <w:t>). Setelah kematian Isyboset, para pemimpin suku utara menyatakan kesetiaan mereka kepada Daud. Daud segera memindahkan ibukotanya dari Hebron ke Yerusalem yang terletak lebih terpusat, dan mengusir penduduk Yebus (</w:t>
      </w:r>
      <w:r>
        <w:rPr>
          <w:lang w:val="id_ID" w:bidi="id_ID"/>
        </w:rPr>
        <w:t>5:6–16</w:t>
      </w:r>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r>
        <w:rPr>
          <w:lang w:val="id_ID" w:bidi="id_ID"/>
        </w:rPr>
        <w:t>6:1–15</w:t>
      </w:r>
      <w:r>
        <w:rPr>
          <w:lang w:val="id_ID" w:bidi="id_ID"/>
        </w:rPr>
        <w:t>). Tak lama kemudian, Allah membuat perjanjian kekal dengan Daud dan keturunannya (</w:t>
      </w:r>
      <w:r>
        <w:rPr>
          <w:lang w:val="id_ID" w:bidi="id_ID"/>
        </w:rPr>
        <w:t>7:1–29</w:t>
      </w:r>
      <w:r>
        <w:rPr>
          <w:lang w:val="id_ID" w:bidi="id_ID"/>
        </w:rPr>
        <w:t>). Pada tahun-tahun awal pemerintahannya, Daud menikmati kesuksesan di segala sisi (</w:t>
      </w:r>
      <w:r>
        <w:rPr>
          <w:lang w:val="id_ID" w:bidi="id_ID"/>
        </w:rPr>
        <w:t>8:1–18</w:t>
      </w:r>
      <w:r>
        <w:rPr>
          <w:lang w:val="id_ID" w:bidi="id_ID"/>
        </w:rPr>
        <w:t xml:space="preserve">; </w:t>
      </w:r>
      <w:r>
        <w:rPr>
          <w:lang w:val="id_ID" w:bidi="id_ID"/>
        </w:rPr>
        <w:t>10:1–19</w:t>
      </w:r>
      <w:r>
        <w:rPr>
          <w:lang w:val="id_ID" w:bidi="id_ID"/>
        </w:rPr>
        <w:t>) dan memenuhi janjinya untuk memperlakukan keturunan Saul dan Yonatan dengan baik (</w:t>
      </w:r>
      <w:r>
        <w:rPr>
          <w:lang w:val="id_ID" w:bidi="id_ID"/>
        </w:rPr>
        <w:t>9:1–13</w:t>
      </w:r>
      <w:r>
        <w:rPr>
          <w:lang w:val="id_ID" w:bidi="id_ID"/>
        </w:rPr>
        <w:t>).</w:t>
      </w:r>
    </w:p>
    <w:p>
      <w:pPr/>
      <w:r>
        <w:rPr>
          <w:lang w:val="id_ID" w:bidi="id_ID"/>
        </w:rPr>
      </w:r>
      <w:r>
        <w:rPr>
          <w:lang w:val="id_ID" w:bidi="id_ID"/>
        </w:rPr>
        <w:t>Kemudian Daud melakukan kesalahan terbesar dalam hidupnya: Dia membawa Batsyeba, istri orang lain, ke rumahnya untuk berzina (</w:t>
      </w:r>
      <w:r>
        <w:rPr>
          <w:lang w:val="id_ID" w:bidi="id_ID"/>
        </w:rPr>
        <w:t>11:1–5</w:t>
      </w:r>
      <w:r>
        <w:rPr>
          <w:lang w:val="id_ID" w:bidi="id_ID"/>
        </w:rPr>
        <w:t>). Dia hamil, dan Daud mengatur pembunuhan suami Batsyeba (</w:t>
      </w:r>
      <w:r>
        <w:rPr>
          <w:lang w:val="id_ID" w:bidi="id_ID"/>
        </w:rPr>
        <w:t>11:6–27</w:t>
      </w:r>
      <w:r>
        <w:rPr>
          <w:lang w:val="id_ID" w:bidi="id_ID"/>
        </w:rPr>
        <w:t>). Allah murka atas perbuatan Daud dan menegurnya (</w:t>
      </w:r>
      <w:r>
        <w:rPr>
          <w:lang w:val="id_ID" w:bidi="id_ID"/>
        </w:rPr>
        <w:t>12:1–12</w:t>
      </w:r>
      <w:r>
        <w:rPr>
          <w:lang w:val="id_ID" w:bidi="id_ID"/>
        </w:rPr>
        <w:t>). Meskipun Daud bertobat dan menerima pengampunan dari Allah, anak yang dikandung hasil dari perselingkuhan itu meninggal (</w:t>
      </w:r>
      <w:r>
        <w:rPr>
          <w:lang w:val="id_ID" w:bidi="id_ID"/>
        </w:rPr>
        <w:t>12:13–23</w:t>
      </w:r>
      <w:r>
        <w:rPr>
          <w:lang w:val="id_ID" w:bidi="id_ID"/>
        </w:rPr>
        <w:t>). Namun Daud tetap menjadi raja pilihan Allah (</w:t>
      </w:r>
      <w:r>
        <w:rPr>
          <w:lang w:val="id_ID" w:bidi="id_ID"/>
        </w:rPr>
        <w:t>12:24–31</w:t>
      </w:r>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r>
        <w:rPr>
          <w:lang w:val="id_ID" w:bidi="id_ID"/>
        </w:rPr>
        <w:t>13:1–39</w:t>
      </w:r>
      <w:r>
        <w:rPr>
          <w:lang w:val="id_ID" w:bidi="id_ID"/>
        </w:rPr>
        <w:t>). Kemudian, Absalom mencoba menggulingkan dan menggantikan Daud, tetapi dia terbunuh dalam kudeta (</w:t>
      </w:r>
      <w:r>
        <w:rPr>
          <w:lang w:val="id_ID" w:bidi="id_ID"/>
        </w:rPr>
        <w:t>14:1–19:43</w:t>
      </w:r>
      <w:r>
        <w:rPr>
          <w:lang w:val="id_ID" w:bidi="id_ID"/>
        </w:rPr>
        <w:t>). Seba, seorang Benyamin, juga memimpin pemberontakan melawan Daud tetapi dikalahkan dan dihukum mati (</w:t>
      </w:r>
      <w:r>
        <w:rPr>
          <w:lang w:val="id_ID" w:bidi="id_ID"/>
        </w:rPr>
        <w:t>20:1–26</w:t>
      </w:r>
      <w:r>
        <w:rPr>
          <w:lang w:val="id_ID" w:bidi="id_ID"/>
        </w:rPr>
        <w:t>).</w:t>
      </w:r>
    </w:p>
    <w:p>
      <w:pPr/>
      <w:r>
        <w:rPr>
          <w:lang w:val="id_ID" w:bidi="id_ID"/>
        </w:rPr>
      </w:r>
      <w:r>
        <w:rPr>
          <w:lang w:val="id_ID" w:bidi="id_ID"/>
        </w:rPr>
        <w:t>Sebagai raja, Daud dua kali bertindak untuk meredakan murka Allah terhadap bangsa itu (</w:t>
      </w:r>
      <w:r>
        <w:rPr>
          <w:lang w:val="id_ID" w:bidi="id_ID"/>
        </w:rPr>
        <w:t>21:1–22</w:t>
      </w:r>
      <w:r>
        <w:rPr>
          <w:lang w:val="id_ID" w:bidi="id_ID"/>
        </w:rPr>
        <w:t xml:space="preserve">; </w:t>
      </w:r>
      <w:r>
        <w:rPr>
          <w:lang w:val="id_ID" w:bidi="id_ID"/>
        </w:rPr>
        <w:t>24:1–25</w:t>
      </w:r>
      <w:r>
        <w:rPr>
          <w:lang w:val="id_ID" w:bidi="id_ID"/>
        </w:rPr>
        <w:t>). Dalam peristiwa kedua, Daud membangun mezbah di Yerusalem (</w:t>
      </w:r>
      <w:r>
        <w:rPr>
          <w:lang w:val="id_ID" w:bidi="id_ID"/>
        </w:rPr>
        <w:t>24:18–25</w:t>
      </w:r>
      <w:r>
        <w:rPr>
          <w:lang w:val="id_ID" w:bidi="id_ID"/>
        </w:rPr>
        <w:t>) di tempat yang menjadi lokasi Bait Suci (lihat 1 Taw. 21:1</w:t>
      </w:r>
      <w:r>
        <w:rPr>
          <w:lang w:val="id_ID" w:bidi="id_ID"/>
        </w:rPr>
        <w:t>8–22:1</w:t>
      </w:r>
      <w:r>
        <w:rPr>
          <w:lang w:val="id_ID" w:bidi="id_ID"/>
        </w:rPr>
        <w:t>). Berada di antara kedua episode ini adalah bagian-bagian yang merayakan kuasa Allah yang bekerja melalui Daud dan deskripsi tentang kesetiaan dan kepahlawanan para pejuang khusus Daud (</w:t>
      </w:r>
      <w:r>
        <w:rPr>
          <w:lang w:val="id_ID" w:bidi="id_ID"/>
        </w:rPr>
        <w:t>22:1–23:39</w:t>
      </w:r>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r>
        <w:rPr>
          <w:lang w:val="id_ID" w:bidi="id_ID"/>
        </w:rPr>
        <w:t>1:1–15</w:t>
      </w:r>
      <w:r>
        <w:rPr>
          <w:lang w:val="id_ID" w:bidi="id_ID"/>
        </w:rPr>
        <w:t xml:space="preserve">; Abner, </w:t>
      </w:r>
      <w:r>
        <w:rPr>
          <w:lang w:val="id_ID" w:bidi="id_ID"/>
        </w:rPr>
        <w:t>3:30</w:t>
      </w:r>
      <w:r>
        <w:rPr>
          <w:lang w:val="id_ID" w:bidi="id_ID"/>
        </w:rPr>
        <w:t xml:space="preserve">; Isyboset, </w:t>
      </w:r>
      <w:r>
        <w:rPr>
          <w:lang w:val="id_ID" w:bidi="id_ID"/>
        </w:rPr>
        <w:t>4:6–8</w:t>
      </w:r>
      <w:r>
        <w:rPr>
          <w:lang w:val="id_ID" w:bidi="id_ID"/>
        </w:rPr>
        <w:t xml:space="preserve">; Absalom, </w:t>
      </w:r>
      <w:r>
        <w:rPr>
          <w:lang w:val="id_ID" w:bidi="id_ID"/>
        </w:rPr>
        <w:t>18:14–15</w:t>
      </w:r>
      <w:r>
        <w:rPr>
          <w:lang w:val="id_ID" w:bidi="id_ID"/>
        </w:rPr>
        <w:t xml:space="preserve">; keturunan laki-laki Saul lainnya, </w:t>
      </w:r>
      <w:r>
        <w:rPr>
          <w:lang w:val="id_ID" w:bidi="id_ID"/>
        </w:rPr>
        <w:t>21:8–9</w:t>
      </w:r>
      <w:r>
        <w:rPr>
          <w:lang w:val="id_ID" w:bidi="id_ID"/>
        </w:rPr>
        <w:t xml:space="preserve">; Amasa, </w:t>
      </w:r>
      <w:r>
        <w:rPr>
          <w:lang w:val="id_ID" w:bidi="id_ID"/>
        </w:rPr>
        <w:t>20:10</w:t>
      </w:r>
      <w:r>
        <w:rPr>
          <w:lang w:val="id_ID" w:bidi="id_ID"/>
        </w:rPr>
        <w:t xml:space="preserve">; dst.). Seba, </w:t>
      </w:r>
      <w:r>
        <w:rPr>
          <w:lang w:val="id_ID" w:bidi="id_ID"/>
        </w:rPr>
        <w:t>20:21–22</w:t>
      </w:r>
      <w:r>
        <w:rPr>
          <w:lang w:val="id_ID" w:bidi="id_ID"/>
        </w:rPr>
        <w:t xml:space="preserve">). Namun, narator dengan hati-hati menunjukkan bahwa Daud tidak bertanggung jawab atas pembunuhan-pembunuhan ini. Berlawanan dengan klaim dari beberapa pihak (lihat </w:t>
      </w:r>
      <w:r>
        <w:rPr>
          <w:lang w:val="id_ID" w:bidi="id_ID"/>
        </w:rPr>
        <w:t>16:5–8</w:t>
      </w:r>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r>
        <w:rPr>
          <w:lang w:val="id_ID" w:bidi="id_ID"/>
        </w:rPr>
        <w:t>1:1–16</w:t>
      </w:r>
      <w:r>
        <w:rPr>
          <w:lang w:val="id_ID" w:bidi="id_ID"/>
        </w:rPr>
        <w:t xml:space="preserve">; </w:t>
      </w:r>
      <w:r>
        <w:rPr>
          <w:lang w:val="id_ID" w:bidi="id_ID"/>
        </w:rPr>
        <w:t>4:12</w:t>
      </w:r>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r>
        <w:rPr>
          <w:lang w:val="id_ID" w:bidi="id_ID"/>
        </w:rPr>
        <w:t>1 Sam. 16:1–13</w:t>
      </w:r>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r>
        <w:rPr>
          <w:lang w:val="id_ID" w:bidi="id_ID"/>
        </w:rPr>
        <w:t>12:2</w:t>
      </w:r>
      <w:r>
        <w:rPr>
          <w:lang w:val="id_ID" w:bidi="id_ID"/>
        </w:rPr>
        <w:t xml:space="preserve">; </w:t>
      </w:r>
      <w:r>
        <w:rPr>
          <w:lang w:val="id_ID" w:bidi="id_ID"/>
        </w:rPr>
        <w:t>2 Sam. 7:9</w:t>
      </w:r>
      <w:r>
        <w:rPr>
          <w:lang w:val="id_ID" w:bidi="id_ID"/>
        </w:rPr>
        <w:t>) dan ketenangan dari musuh mereka (Kej. 15:1</w:t>
      </w:r>
      <w:r>
        <w:rPr>
          <w:lang w:val="id_ID" w:bidi="id_ID"/>
        </w:rPr>
        <w:t>8–21</w:t>
      </w:r>
      <w:r>
        <w:rPr>
          <w:lang w:val="id_ID" w:bidi="id_ID"/>
        </w:rPr>
        <w:t xml:space="preserve">; </w:t>
      </w:r>
      <w:r>
        <w:rPr>
          <w:lang w:val="id_ID" w:bidi="id_ID"/>
        </w:rPr>
        <w:t>2 Sam. 7:10</w:t>
      </w:r>
      <w:r>
        <w:rPr>
          <w:lang w:val="id_ID" w:bidi="id_ID"/>
        </w:rPr>
        <w:t xml:space="preserve">). Kedua janji itu mengikat selamanya (Kej. </w:t>
      </w:r>
      <w:r>
        <w:rPr>
          <w:lang w:val="id_ID" w:bidi="id_ID"/>
        </w:rPr>
        <w:t>13:15</w:t>
      </w:r>
      <w:r>
        <w:rPr>
          <w:lang w:val="id_ID" w:bidi="id_ID"/>
        </w:rPr>
        <w:t xml:space="preserve">; </w:t>
      </w:r>
      <w:r>
        <w:rPr>
          <w:lang w:val="id_ID" w:bidi="id_ID"/>
        </w:rPr>
        <w:t>2 Sam. 7:16</w:t>
      </w:r>
      <w:r>
        <w:rPr>
          <w:lang w:val="id_ID" w:bidi="id_ID"/>
        </w:rPr>
        <w:t>), dan sebagian besar tanah yang dijanjikan Allah kepada Abraham dan keturunannya (</w:t>
      </w:r>
      <w:r>
        <w:rPr>
          <w:lang w:val="id_ID" w:bidi="id_ID"/>
        </w:rPr>
        <w:t>Kej</w:t>
      </w:r>
      <w:r>
        <w:rPr>
          <w:lang w:val="id_ID" w:bidi="id_ID"/>
        </w:rPr>
        <w:t>. 15:18) diperoleh melalui perluasan kerajaan oleh Daud (</w:t>
      </w:r>
      <w:r>
        <w:rPr>
          <w:lang w:val="id_ID" w:bidi="id_ID"/>
        </w:rPr>
        <w:t>2 Sam 5:17–25</w:t>
      </w:r>
      <w:r>
        <w:rPr>
          <w:lang w:val="id_ID" w:bidi="id_ID"/>
        </w:rPr>
        <w:t xml:space="preserve">; </w:t>
      </w:r>
      <w:r>
        <w:rPr>
          <w:lang w:val="id_ID" w:bidi="id_ID"/>
        </w:rPr>
        <w:t>8:1–14</w:t>
      </w:r>
      <w:r>
        <w:rPr>
          <w:lang w:val="id_ID" w:bidi="id_ID"/>
        </w:rPr>
        <w:t xml:space="preserve">; </w:t>
      </w:r>
      <w:r>
        <w:rPr>
          <w:lang w:val="id_ID" w:bidi="id_ID"/>
        </w:rPr>
        <w:t>10:1–9</w:t>
      </w:r>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r>
        <w:rPr>
          <w:lang w:val="id_ID" w:bidi="id_ID"/>
        </w:rPr>
        <w:t>12:1–20:26</w:t>
      </w:r>
      <w:r>
        <w:rPr>
          <w:lang w:val="id_ID" w:bidi="id_ID"/>
        </w:rPr>
        <w:t xml:space="preserve">; </w:t>
      </w:r>
      <w:r>
        <w:rPr>
          <w:lang w:val="id_ID" w:bidi="id_ID"/>
        </w:rPr>
        <w:t>24:1–25</w:t>
      </w:r>
      <w:r>
        <w:rPr>
          <w:lang w:val="id_ID" w:bidi="id_ID"/>
        </w:rPr>
        <w:t>). Namun Allah tetap berkomitmen kepada Daud dan dinastinya (</w:t>
      </w:r>
      <w:r>
        <w:rPr>
          <w:lang w:val="id_ID" w:bidi="id_ID"/>
        </w:rPr>
        <w:t>7:14–16</w:t>
      </w:r>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r>
        <w:rPr>
          <w:lang w:val="id_ID" w:bidi="id_ID"/>
        </w:rPr>
        <w:t>1:1</w:t>
      </w:r>
      <w:r>
        <w:rPr>
          <w:lang w:val="id_ID" w:bidi="id_ID"/>
        </w:rPr>
        <w:t xml:space="preserve">) dan diakhiri (Why. </w:t>
      </w:r>
      <w:r>
        <w:rPr>
          <w:lang w:val="id_ID" w:bidi="id_ID"/>
        </w:rPr>
        <w:t>22:16</w:t>
      </w:r>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