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r>
        <w:rPr>
          <w:lang w:val="id_ID" w:bidi="id_ID"/>
        </w:rPr>
        <w:t>2 Taw. 26:11–15</w:t>
      </w:r>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r>
        <w:rPr>
          <w:lang w:val="id_ID" w:bidi="id_ID"/>
        </w:rPr>
        <w:t>Yes. 6</w:t>
      </w:r>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r>
        <w:rPr>
          <w:lang w:val="id_ID" w:bidi="id_ID"/>
        </w:rPr>
        <w:t>2 Taw. 28:16–21</w:t>
      </w:r>
      <w:r>
        <w:rPr>
          <w:lang w:val="id_ID" w:bidi="id_ID"/>
        </w:rPr>
        <w:t>) daripada mempercayai Allah (</w:t>
      </w:r>
      <w:r>
        <w:rPr>
          <w:lang w:val="id_ID" w:bidi="id_ID"/>
        </w:rPr>
        <w:t>Yesaya 7:1–12</w:t>
      </w:r>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r>
        <w:rPr>
          <w:lang w:val="id_ID" w:bidi="id_ID"/>
        </w:rPr>
        <w:t>2 Rj.17:5–18</w:t>
      </w:r>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r>
        <w:rPr>
          <w:lang w:val="id_ID" w:bidi="id_ID"/>
        </w:rPr>
        <w:t>37:21–36</w:t>
      </w:r>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r>
        <w:rPr>
          <w:lang w:val="id_ID" w:bidi="id_ID"/>
        </w:rPr>
        <w:t>Ezra 1:1–4</w:t>
      </w:r>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r>
        <w:rPr>
          <w:lang w:val="id_ID" w:bidi="id_ID"/>
        </w:rPr>
        <w:t>Yesaya 1–39</w:t>
      </w:r>
      <w:r>
        <w:rPr>
          <w:lang w:val="id_ID" w:bidi="id_ID"/>
        </w:rPr>
        <w:t xml:space="preserve"> menceritakan kisah dari kematian Uzia (740 SM) hingga 701 SM. Bagian pembuka (</w:t>
      </w:r>
      <w:r>
        <w:rPr>
          <w:lang w:val="id_ID" w:bidi="id_ID"/>
        </w:rPr>
        <w:t>pasal 1–5</w:t>
      </w:r>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r>
        <w:rPr>
          <w:lang w:val="id_ID" w:bidi="id_ID"/>
        </w:rPr>
        <w:t>pasal 6</w:t>
      </w:r>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r>
        <w:rPr>
          <w:lang w:val="id_ID" w:bidi="id_ID"/>
        </w:rPr>
        <w:t>13 sampai 35</w:t>
      </w:r>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r>
        <w:rPr>
          <w:lang w:val="id_ID" w:bidi="id_ID"/>
        </w:rPr>
        <w:t>pasal 7–12</w:t>
      </w:r>
      <w:r>
        <w:rPr>
          <w:lang w:val="id_ID" w:bidi="id_ID"/>
        </w:rPr>
        <w:t xml:space="preserve">, dan pengalaman Raja Hizkia di </w:t>
      </w:r>
      <w:r>
        <w:rPr>
          <w:lang w:val="id_ID" w:bidi="id_ID"/>
        </w:rPr>
        <w:t>pasal 36–39</w:t>
      </w:r>
      <w:r>
        <w:rPr>
          <w:lang w:val="id_ID" w:bidi="id_ID"/>
        </w:rPr>
        <w:t>. Ketika Ahas tidak percaya kepada Allah, malapetaka pun terjadi. Di sisi lain, putranya Hizkia percaya kepada Allah, dan terjadilah penyelamatan besar. Namun, Hizkia, juga memiliki masa-masa kelemahan (</w:t>
      </w:r>
      <w:r>
        <w:rPr>
          <w:lang w:val="id_ID" w:bidi="id_ID"/>
        </w:rPr>
        <w:t>pasal 39</w:t>
      </w:r>
      <w:r>
        <w:rPr>
          <w:lang w:val="id_ID" w:bidi="id_ID"/>
        </w:rPr>
        <w:t>), yang menjadi pijakan bagi kekalahan dan pembuangan Yehuda ke Babel di kemudian hari.</w:t>
      </w:r>
    </w:p>
    <w:p>
      <w:pPr/>
      <w:r>
        <w:rPr>
          <w:lang w:val="id_ID" w:bidi="id_ID"/>
        </w:rPr>
      </w:r>
      <w:r>
        <w:rPr>
          <w:lang w:val="id_ID" w:bidi="id_ID"/>
        </w:rPr>
        <w:t>Yesaya 40–55</w:t>
      </w:r>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r>
        <w:rPr>
          <w:lang w:val="id_ID" w:bidi="id_ID"/>
        </w:rPr>
        <w:t>pasal 40–48</w:t>
      </w:r>
      <w:r>
        <w:rPr>
          <w:lang w:val="id_ID" w:bidi="id_ID"/>
        </w:rPr>
        <w:t xml:space="preserve">, Yesaya menunjukkan bahwa Allah jauh lebih berkuasa daripada berhala lainnya, dan umat-Nya akan menjadi bukti ketika Allah menyelamatkan mereka dari tangan Babel yang pada akhirnya tidak berdaya. Dalam </w:t>
      </w:r>
      <w:r>
        <w:rPr>
          <w:lang w:val="id_ID" w:bidi="id_ID"/>
        </w:rPr>
        <w:t>pasal 49–55</w:t>
      </w:r>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r>
        <w:rPr>
          <w:lang w:val="id_ID" w:bidi="id_ID"/>
        </w:rPr>
        <w:t>Yesaya 56–66</w:t>
      </w:r>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r>
        <w:rPr>
          <w:lang w:val="id_ID" w:bidi="id_ID"/>
        </w:rPr>
        <w:t>Mat 8:17</w:t>
      </w:r>
      <w:r>
        <w:rPr>
          <w:lang w:val="id_ID" w:bidi="id_ID"/>
        </w:rPr>
        <w:t xml:space="preserve">; </w:t>
      </w:r>
      <w:r>
        <w:rPr>
          <w:lang w:val="id_ID" w:bidi="id_ID"/>
        </w:rPr>
        <w:t>12:17–21</w:t>
      </w:r>
      <w:r>
        <w:rPr>
          <w:lang w:val="id_ID" w:bidi="id_ID"/>
        </w:rPr>
        <w:t xml:space="preserve">; </w:t>
      </w:r>
      <w:r>
        <w:rPr>
          <w:lang w:val="id_ID" w:bidi="id_ID"/>
        </w:rPr>
        <w:t>Luk 3:4–6</w:t>
      </w:r>
      <w:r>
        <w:rPr>
          <w:lang w:val="id_ID" w:bidi="id_ID"/>
        </w:rPr>
        <w:t xml:space="preserve">; </w:t>
      </w:r>
      <w:r>
        <w:rPr>
          <w:lang w:val="id_ID" w:bidi="id_ID"/>
        </w:rPr>
        <w:t>Kisah Para Rasul 8:28–35</w:t>
      </w:r>
      <w:r>
        <w:rPr>
          <w:lang w:val="id_ID" w:bidi="id_ID"/>
        </w:rPr>
        <w:t xml:space="preserve">; </w:t>
      </w:r>
      <w:r>
        <w:rPr>
          <w:lang w:val="id_ID" w:bidi="id_ID"/>
        </w:rPr>
        <w:t>Rom 10:16</w:t>
      </w:r>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r>
        <w:rPr>
          <w:lang w:val="id_ID" w:bidi="id_ID"/>
        </w:rPr>
        <w:t>6–39</w:t>
      </w:r>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r>
        <w:rPr>
          <w:lang w:val="id_ID" w:bidi="id_ID"/>
        </w:rPr>
        <w:t>pasal 40–66</w:t>
      </w:r>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r>
        <w:rPr>
          <w:lang w:val="id_ID" w:bidi="id_ID"/>
        </w:rPr>
        <w:t>pasal 1–39</w:t>
      </w:r>
      <w:r>
        <w:rPr>
          <w:lang w:val="id_ID" w:bidi="id_ID"/>
        </w:rPr>
        <w:t xml:space="preserve"> dan penulisan </w:t>
      </w:r>
      <w:r>
        <w:rPr>
          <w:lang w:val="id_ID" w:bidi="id_ID"/>
        </w:rPr>
        <w:t>pasal 40–66</w:t>
      </w:r>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r>
        <w:rPr>
          <w:lang w:val="id_ID" w:bidi="id_ID"/>
        </w:rPr>
        <w:t>9:8–21</w:t>
      </w:r>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r>
        <w:rPr>
          <w:lang w:val="id_ID" w:bidi="id_ID"/>
        </w:rPr>
        <w:t>5:8–30</w:t>
      </w:r>
      <w:r>
        <w:rPr>
          <w:lang w:val="id_ID" w:bidi="id_ID"/>
        </w:rPr>
        <w:t xml:space="preserve">; </w:t>
      </w:r>
      <w:r>
        <w:rPr>
          <w:lang w:val="id_ID" w:bidi="id_ID"/>
        </w:rPr>
        <w:t>29:1–12</w:t>
      </w:r>
      <w:r>
        <w:rPr>
          <w:lang w:val="id_ID" w:bidi="id_ID"/>
        </w:rPr>
        <w:t xml:space="preserve">; </w:t>
      </w:r>
      <w:r>
        <w:rPr>
          <w:lang w:val="id_ID" w:bidi="id_ID"/>
        </w:rPr>
        <w:t>31:1–9</w:t>
      </w:r>
      <w:r>
        <w:rPr>
          <w:lang w:val="id_ID" w:bidi="id_ID"/>
        </w:rPr>
        <w:t>);</w:t>
      </w:r>
    </w:p>
    <w:p>
      <w:pPr>
        <w:pStyle w:val="ListBullet"/>
        <w:spacing w:line="240" w:lineRule="auto"/>
        <w:ind w:left="720"/>
      </w:pPr>
      <w:r>
        <w:rPr>
          <w:lang w:val="id_ID" w:bidi="id_ID"/>
        </w:rPr>
      </w:r>
      <w:r>
        <w:rPr>
          <w:lang w:val="id_ID" w:bidi="id_ID"/>
        </w:rPr>
        <w:t>perumpamaan yang diajarkan dengan analogi (</w:t>
      </w:r>
      <w:r>
        <w:rPr>
          <w:lang w:val="id_ID" w:bidi="id_ID"/>
        </w:rPr>
        <w:t>5:1–8</w:t>
      </w:r>
      <w:r>
        <w:rPr>
          <w:lang w:val="id_ID" w:bidi="id_ID"/>
        </w:rPr>
        <w:t xml:space="preserve">; </w:t>
      </w:r>
      <w:r>
        <w:rPr>
          <w:lang w:val="id_ID" w:bidi="id_ID"/>
        </w:rPr>
        <w:t>27:2–6</w:t>
      </w:r>
      <w:r>
        <w:rPr>
          <w:lang w:val="id_ID" w:bidi="id_ID"/>
        </w:rPr>
        <w:t>);</w:t>
      </w:r>
    </w:p>
    <w:p>
      <w:pPr>
        <w:pStyle w:val="ListBullet"/>
        <w:spacing w:line="240" w:lineRule="auto"/>
        <w:ind w:left="720"/>
      </w:pPr>
      <w:r>
        <w:rPr>
          <w:lang w:val="id_ID" w:bidi="id_ID"/>
        </w:rPr>
      </w:r>
      <w:r>
        <w:rPr>
          <w:lang w:val="id_ID" w:bidi="id_ID"/>
        </w:rPr>
        <w:t>pidato pengadilan untuk membuktikan suatu kasus (</w:t>
      </w:r>
      <w:r>
        <w:rPr>
          <w:lang w:val="id_ID" w:bidi="id_ID"/>
        </w:rPr>
        <w:t>41:21–29</w:t>
      </w:r>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r>
        <w:rPr>
          <w:lang w:val="id_ID" w:bidi="id_ID"/>
        </w:rPr>
        <w:t>2:1–5</w:t>
      </w:r>
      <w:r>
        <w:rPr>
          <w:lang w:val="id_ID" w:bidi="id_ID"/>
        </w:rPr>
        <w:t xml:space="preserve">; </w:t>
      </w:r>
      <w:r>
        <w:rPr>
          <w:lang w:val="id_ID" w:bidi="id_ID"/>
        </w:rPr>
        <w:t>32:1–20</w:t>
      </w:r>
      <w:r>
        <w:rPr>
          <w:lang w:val="id_ID" w:bidi="id_ID"/>
        </w:rPr>
        <w:t xml:space="preserve">; </w:t>
      </w:r>
      <w:r>
        <w:rPr>
          <w:lang w:val="id_ID" w:bidi="id_ID"/>
        </w:rPr>
        <w:t>60:1–22</w:t>
      </w:r>
      <w:r>
        <w:rPr>
          <w:lang w:val="id_ID" w:bidi="id_ID"/>
        </w:rPr>
        <w:t>);</w:t>
      </w:r>
    </w:p>
    <w:p>
      <w:pPr>
        <w:pStyle w:val="ListBullet"/>
        <w:spacing w:line="240" w:lineRule="auto"/>
        <w:ind w:left="720"/>
      </w:pPr>
      <w:r>
        <w:rPr>
          <w:lang w:val="id_ID" w:bidi="id_ID"/>
        </w:rPr>
      </w:r>
      <w:r>
        <w:rPr>
          <w:lang w:val="id_ID" w:bidi="id_ID"/>
        </w:rPr>
        <w:t>nyanyian pujian kepada Allah atas kesetiaan-Nya (</w:t>
      </w:r>
      <w:r>
        <w:rPr>
          <w:lang w:val="id_ID" w:bidi="id_ID"/>
        </w:rPr>
        <w:t>12:1–6</w:t>
      </w:r>
      <w:r>
        <w:rPr>
          <w:lang w:val="id_ID" w:bidi="id_ID"/>
        </w:rPr>
        <w:t xml:space="preserve">; </w:t>
      </w:r>
      <w:r>
        <w:rPr>
          <w:lang w:val="id_ID" w:bidi="id_ID"/>
        </w:rPr>
        <w:t>26:1–6</w:t>
      </w:r>
      <w:r>
        <w:rPr>
          <w:lang w:val="id_ID" w:bidi="id_ID"/>
        </w:rPr>
        <w:t>);</w:t>
      </w:r>
    </w:p>
    <w:p>
      <w:pPr>
        <w:pStyle w:val="ListBullet"/>
        <w:spacing w:line="240" w:lineRule="auto"/>
        <w:ind w:left="720"/>
      </w:pPr>
      <w:r>
        <w:rPr>
          <w:lang w:val="id_ID" w:bidi="id_ID"/>
        </w:rPr>
      </w:r>
      <w:r>
        <w:rPr>
          <w:lang w:val="id_ID" w:bidi="id_ID"/>
        </w:rPr>
        <w:t>nubuat terhadap bangsa-bangsa asing (</w:t>
      </w:r>
      <w:r>
        <w:rPr>
          <w:lang w:val="id_ID" w:bidi="id_ID"/>
        </w:rPr>
        <w:t>15:1–16:14</w:t>
      </w:r>
      <w:r>
        <w:rPr>
          <w:lang w:val="id_ID" w:bidi="id_ID"/>
        </w:rPr>
        <w:t xml:space="preserve">; </w:t>
      </w:r>
      <w:r>
        <w:rPr>
          <w:lang w:val="id_ID" w:bidi="id_ID"/>
        </w:rPr>
        <w:t>23:1–18</w:t>
      </w:r>
      <w:r>
        <w:rPr>
          <w:lang w:val="id_ID" w:bidi="id_ID"/>
        </w:rPr>
        <w:t>);</w:t>
      </w:r>
    </w:p>
    <w:p>
      <w:pPr>
        <w:pStyle w:val="ListBullet"/>
        <w:spacing w:line="240" w:lineRule="auto"/>
        <w:ind w:left="720"/>
      </w:pPr>
      <w:r>
        <w:rPr>
          <w:lang w:val="id_ID" w:bidi="id_ID"/>
        </w:rPr>
      </w:r>
      <w:r>
        <w:rPr>
          <w:lang w:val="id_ID" w:bidi="id_ID"/>
        </w:rPr>
        <w:t>nubuat tentang kedatangan seorang raja, yaitu Mesias (</w:t>
      </w:r>
      <w:r>
        <w:rPr>
          <w:lang w:val="id_ID" w:bidi="id_ID"/>
        </w:rPr>
        <w:t>9:1–7</w:t>
      </w:r>
      <w:r>
        <w:rPr>
          <w:lang w:val="id_ID" w:bidi="id_ID"/>
        </w:rPr>
        <w:t xml:space="preserve">; </w:t>
      </w:r>
      <w:r>
        <w:rPr>
          <w:lang w:val="id_ID" w:bidi="id_ID"/>
        </w:rPr>
        <w:t>11:1–9</w:t>
      </w:r>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r>
        <w:rPr>
          <w:lang w:val="id_ID" w:bidi="id_ID"/>
        </w:rPr>
        <w:t>42:1–9</w:t>
      </w:r>
      <w:r>
        <w:rPr>
          <w:lang w:val="id_ID" w:bidi="id_ID"/>
        </w:rPr>
        <w:t xml:space="preserve">; </w:t>
      </w:r>
      <w:r>
        <w:rPr>
          <w:lang w:val="id_ID" w:bidi="id_ID"/>
        </w:rPr>
        <w:t>52:13–53:12</w:t>
      </w:r>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r>
        <w:rPr>
          <w:lang w:val="id_ID" w:bidi="id_ID"/>
        </w:rPr>
        <w:t>36:1–22</w:t>
      </w:r>
      <w:r>
        <w:rPr>
          <w:lang w:val="id_ID" w:bidi="id_ID"/>
        </w:rPr>
        <w:t xml:space="preserve">; </w:t>
      </w:r>
      <w:r>
        <w:rPr>
          <w:lang w:val="id_ID" w:bidi="id_ID"/>
        </w:rPr>
        <w:t>39:1–8</w:t>
      </w:r>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r>
        <w:rPr>
          <w:lang w:val="id_ID" w:bidi="id_ID"/>
        </w:rPr>
        <w:t>7:14</w:t>
      </w:r>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r>
        <w:rPr>
          <w:lang w:val="id_ID" w:bidi="id_ID"/>
        </w:rPr>
        <w:t>1:21–23</w:t>
      </w:r>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